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97" w:rsidRDefault="00742439" w:rsidP="00742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B90">
        <w:rPr>
          <w:rFonts w:ascii="Times New Roman" w:hAnsi="Times New Roman" w:cs="Times New Roman"/>
          <w:sz w:val="28"/>
          <w:szCs w:val="28"/>
        </w:rPr>
        <w:t>Действующий механизм исчисления и уплаты налога на добавленную стоимость</w:t>
      </w:r>
    </w:p>
    <w:p w:rsidR="00742439" w:rsidRDefault="00742439" w:rsidP="00742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564113"/>
        <w:docPartObj>
          <w:docPartGallery w:val="Table of Contents"/>
          <w:docPartUnique/>
        </w:docPartObj>
      </w:sdtPr>
      <w:sdtContent>
        <w:p w:rsidR="00742439" w:rsidRDefault="00742439" w:rsidP="00742439">
          <w:pPr>
            <w:pStyle w:val="a4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5C443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42439" w:rsidRPr="005C443C" w:rsidRDefault="00742439" w:rsidP="00742439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</w:rPr>
          </w:pPr>
        </w:p>
        <w:p w:rsidR="00742439" w:rsidRPr="005C443C" w:rsidRDefault="00742439" w:rsidP="00742439">
          <w:pPr>
            <w:pStyle w:val="11"/>
            <w:tabs>
              <w:tab w:val="right" w:leader="dot" w:pos="9344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r w:rsidRPr="005C443C">
            <w:rPr>
              <w:rFonts w:ascii="Times New Roman" w:hAnsi="Times New Roman" w:cs="Times New Roman"/>
              <w:sz w:val="28"/>
            </w:rPr>
            <w:fldChar w:fldCharType="begin"/>
          </w:r>
          <w:r w:rsidRPr="005C443C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5C443C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75618962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742439" w:rsidRPr="005C443C" w:rsidRDefault="00742439" w:rsidP="00742439">
          <w:pPr>
            <w:pStyle w:val="11"/>
            <w:tabs>
              <w:tab w:val="right" w:leader="dot" w:pos="9344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3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1 Теоретические аспекты функционирования налога на добавленную стоимость</w:t>
            </w:r>
          </w:hyperlink>
        </w:p>
        <w:p w:rsidR="00742439" w:rsidRPr="005C443C" w:rsidRDefault="00742439" w:rsidP="00742439">
          <w:pPr>
            <w:pStyle w:val="2"/>
            <w:tabs>
              <w:tab w:val="right" w:leader="dot" w:pos="934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4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1.1 Сущность, понятие НДС и его роль в формировании бюджетной системы Российской Федерации</w:t>
            </w:r>
          </w:hyperlink>
        </w:p>
        <w:p w:rsidR="00742439" w:rsidRPr="005C443C" w:rsidRDefault="00742439" w:rsidP="00742439">
          <w:pPr>
            <w:pStyle w:val="2"/>
            <w:tabs>
              <w:tab w:val="right" w:leader="dot" w:pos="934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5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1.2 Механизм функционирования НДС в системе косвенного налогообложения в Российской Федерации</w:t>
            </w:r>
          </w:hyperlink>
        </w:p>
        <w:p w:rsidR="00742439" w:rsidRPr="005C443C" w:rsidRDefault="00742439" w:rsidP="00742439">
          <w:pPr>
            <w:pStyle w:val="11"/>
            <w:tabs>
              <w:tab w:val="right" w:leader="dot" w:pos="9344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6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2 Анализ современного состояния налога на добавленную стоимость в Российской Федерации</w:t>
            </w:r>
          </w:hyperlink>
        </w:p>
        <w:p w:rsidR="00742439" w:rsidRPr="005C443C" w:rsidRDefault="00742439" w:rsidP="00742439">
          <w:pPr>
            <w:pStyle w:val="2"/>
            <w:tabs>
              <w:tab w:val="right" w:leader="dot" w:pos="934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7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2.1 Оценка механизма исчисления и взимания НДС в консолидированный бюджет Российской Федерации</w:t>
            </w:r>
          </w:hyperlink>
        </w:p>
        <w:p w:rsidR="00742439" w:rsidRPr="005C443C" w:rsidRDefault="00742439" w:rsidP="00742439">
          <w:pPr>
            <w:pStyle w:val="2"/>
            <w:tabs>
              <w:tab w:val="right" w:leader="dot" w:pos="934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8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2.2 Анализ динамики поступлений НДС в федеральном бюджете РФ</w:t>
            </w:r>
          </w:hyperlink>
        </w:p>
        <w:p w:rsidR="00742439" w:rsidRPr="005C443C" w:rsidRDefault="00742439" w:rsidP="00742439">
          <w:pPr>
            <w:pStyle w:val="11"/>
            <w:tabs>
              <w:tab w:val="right" w:leader="dot" w:pos="9344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69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3 Проблемы и пути совершенствования функционирования НДС в РФ</w:t>
            </w:r>
          </w:hyperlink>
        </w:p>
        <w:p w:rsidR="00742439" w:rsidRPr="005C443C" w:rsidRDefault="00742439" w:rsidP="00742439">
          <w:pPr>
            <w:pStyle w:val="2"/>
            <w:tabs>
              <w:tab w:val="right" w:leader="dot" w:pos="934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70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3.1 Проблемы практики налогообложения НДС в Российской Федерации</w:t>
            </w:r>
          </w:hyperlink>
        </w:p>
        <w:p w:rsidR="00742439" w:rsidRPr="005C443C" w:rsidRDefault="00742439" w:rsidP="00742439">
          <w:pPr>
            <w:pStyle w:val="2"/>
            <w:tabs>
              <w:tab w:val="right" w:leader="dot" w:pos="934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71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3.2 Налог с продаж как способ пополнения государственного бюджета Российской Федерации</w:t>
            </w:r>
          </w:hyperlink>
        </w:p>
        <w:p w:rsidR="00742439" w:rsidRPr="005C443C" w:rsidRDefault="00742439" w:rsidP="00742439">
          <w:pPr>
            <w:pStyle w:val="11"/>
            <w:tabs>
              <w:tab w:val="right" w:leader="dot" w:pos="9344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72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742439" w:rsidRPr="005C443C" w:rsidRDefault="00742439" w:rsidP="00742439">
          <w:pPr>
            <w:pStyle w:val="11"/>
            <w:tabs>
              <w:tab w:val="right" w:leader="dot" w:pos="9344"/>
            </w:tabs>
            <w:spacing w:after="0" w:line="36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75618973" w:history="1">
            <w:r w:rsidRPr="005C443C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742439" w:rsidRDefault="00742439" w:rsidP="00742439">
          <w:pPr>
            <w:spacing w:after="0" w:line="360" w:lineRule="auto"/>
            <w:ind w:firstLine="709"/>
          </w:pPr>
          <w:r w:rsidRPr="005C443C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742439" w:rsidRDefault="00742439">
      <w:r>
        <w:br w:type="page"/>
      </w:r>
    </w:p>
    <w:p w:rsidR="00742439" w:rsidRPr="002D6F5E" w:rsidRDefault="00742439" w:rsidP="0074243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75618972"/>
      <w:r w:rsidRPr="002D6F5E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742439" w:rsidRDefault="00742439" w:rsidP="007424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2439" w:rsidRPr="00917690" w:rsidRDefault="00742439" w:rsidP="007424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7690">
        <w:rPr>
          <w:rFonts w:ascii="Times New Roman" w:hAnsi="Times New Roman"/>
          <w:sz w:val="28"/>
        </w:rPr>
        <w:t>Данная работа посвящена исследованию НДС - одного из наиболее сложных в исчислении налогов.</w:t>
      </w:r>
    </w:p>
    <w:p w:rsidR="00742439" w:rsidRPr="00917690" w:rsidRDefault="00742439" w:rsidP="007424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7690">
        <w:rPr>
          <w:rFonts w:ascii="Times New Roman" w:hAnsi="Times New Roman"/>
          <w:sz w:val="28"/>
        </w:rPr>
        <w:t>Он имеет огромное фискальное значение, являясь значительным источником пополнения доходов бюджета.</w:t>
      </w:r>
    </w:p>
    <w:p w:rsidR="00742439" w:rsidRPr="00917690" w:rsidRDefault="00742439" w:rsidP="007424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7690">
        <w:rPr>
          <w:rFonts w:ascii="Times New Roman" w:hAnsi="Times New Roman"/>
          <w:sz w:val="28"/>
        </w:rPr>
        <w:t>В то же время налог на добавленную стоимость выполняет регулирующую функцию путем воздействия на механизм ценообразования.</w:t>
      </w:r>
    </w:p>
    <w:p w:rsidR="00742439" w:rsidRPr="00917690" w:rsidRDefault="00742439" w:rsidP="007424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7690">
        <w:rPr>
          <w:rFonts w:ascii="Times New Roman" w:hAnsi="Times New Roman"/>
          <w:sz w:val="28"/>
        </w:rPr>
        <w:t>Значение НДС для отечественной экономики сложно переоценить. НДС относится к государственным налогам и действует на всей территории РК.</w:t>
      </w:r>
    </w:p>
    <w:p w:rsidR="00742439" w:rsidRPr="00917690" w:rsidRDefault="00742439" w:rsidP="007424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7690">
        <w:rPr>
          <w:rFonts w:ascii="Times New Roman" w:hAnsi="Times New Roman"/>
          <w:sz w:val="28"/>
        </w:rPr>
        <w:t>Согласно Налоговому Кодексу налог представляет собой форму изъятия в бюджет части добавленной стоимости, создаваемой на всех стадиях производства и определяемой как разница между стоимостью реализованных товаров, работ и услуг и стоимостью материальных затрат, отнесенных на издержки производства и обращения.</w:t>
      </w:r>
    </w:p>
    <w:p w:rsidR="00742439" w:rsidRDefault="00742439">
      <w:r>
        <w:br w:type="page"/>
      </w:r>
    </w:p>
    <w:p w:rsidR="00742439" w:rsidRDefault="00742439" w:rsidP="0074243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75618973"/>
      <w:r w:rsidRPr="009C4EDC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742439" w:rsidRPr="005C443C" w:rsidRDefault="00742439" w:rsidP="00742439"/>
    <w:p w:rsidR="00742439" w:rsidRPr="00AD18C6" w:rsidRDefault="00742439" w:rsidP="0074243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и налоговая система Российской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 и практикум для академического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науч. ред. Л. И. Гончаренко. —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— 541 с. —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Бакалавр. Академический курс.</w:t>
      </w:r>
    </w:p>
    <w:p w:rsidR="00742439" w:rsidRPr="00AD18C6" w:rsidRDefault="00742439" w:rsidP="0074243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Пансков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 Налоги и налогообложение.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В. Г.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</w:t>
      </w:r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сков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Левочкина. — М.: Издательство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— 319 с. —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Бакалавр. Академический курс.</w:t>
      </w:r>
    </w:p>
    <w:p w:rsidR="00742439" w:rsidRPr="00AD18C6" w:rsidRDefault="00742439" w:rsidP="0074243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Пансков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Налоги и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прикладного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</w:t>
      </w:r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риата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Г.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Пансков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5-е изд.,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М.: Издательство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— 382 с. —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Бакалавр. Прикладной курс.</w:t>
      </w:r>
    </w:p>
    <w:p w:rsidR="00742439" w:rsidRPr="00AD18C6" w:rsidRDefault="00742439" w:rsidP="0074243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и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СПО / под ред. Л. Я.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Маршавиной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Чайковской. — М.: Издательство </w:t>
      </w:r>
      <w:proofErr w:type="spell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— 503 с. — </w:t>
      </w:r>
      <w:proofErr w:type="gramStart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A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образование.</w:t>
      </w:r>
    </w:p>
    <w:p w:rsidR="00742439" w:rsidRPr="005C443C" w:rsidRDefault="00742439" w:rsidP="0074243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C443C">
          <w:rPr>
            <w:rStyle w:val="a3"/>
            <w:rFonts w:ascii="Times New Roman" w:hAnsi="Times New Roman" w:cs="Times New Roman"/>
            <w:bCs/>
            <w:sz w:val="28"/>
            <w:szCs w:val="28"/>
          </w:rPr>
          <w:t>Налоговый кодекс Российской Федерации (часть вторая) от 05.08.2000 N 117-ФЗ (ред. от 28.12.2016)</w:t>
        </w:r>
      </w:hyperlink>
      <w:r w:rsidRPr="005C443C">
        <w:rPr>
          <w:rFonts w:ascii="Times New Roman" w:hAnsi="Times New Roman" w:cs="Times New Roman"/>
          <w:sz w:val="28"/>
          <w:szCs w:val="28"/>
        </w:rPr>
        <w:t>. Электронный ресурс: http://www.consultant.ru/document/cons_doc_LAW_28165;</w:t>
      </w:r>
    </w:p>
    <w:p w:rsidR="00742439" w:rsidRDefault="00742439" w:rsidP="00742439">
      <w:bookmarkStart w:id="2" w:name="_GoBack"/>
      <w:bookmarkEnd w:id="2"/>
    </w:p>
    <w:sectPr w:rsidR="0074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09A0"/>
    <w:multiLevelType w:val="multilevel"/>
    <w:tmpl w:val="CE2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73"/>
    <w:rsid w:val="00062D97"/>
    <w:rsid w:val="00742439"/>
    <w:rsid w:val="00F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5ACA"/>
  <w15:chartTrackingRefBased/>
  <w15:docId w15:val="{CA7102D7-42B2-4D0B-9BDD-5342C3E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4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7424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2439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742439"/>
    <w:pPr>
      <w:spacing w:after="100" w:line="276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2019-01-14T11:27:00Z</dcterms:created>
  <dcterms:modified xsi:type="dcterms:W3CDTF">2019-01-14T11:29:00Z</dcterms:modified>
</cp:coreProperties>
</file>