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74E" w:rsidRPr="0028674E" w:rsidRDefault="0028674E" w:rsidP="0028674E">
      <w:pPr>
        <w:pStyle w:val="a4"/>
        <w:spacing w:before="0"/>
        <w:jc w:val="center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28674E">
        <w:rPr>
          <w:rFonts w:ascii="Times New Roman" w:eastAsiaTheme="minorHAnsi" w:hAnsi="Times New Roman" w:cs="Times New Roman"/>
          <w:b w:val="0"/>
          <w:bCs w:val="0"/>
          <w:color w:val="auto"/>
        </w:rPr>
        <w:t>Кр_фиксированный налог понятие, порядок исчисления и уплата в бюджет</w:t>
      </w:r>
    </w:p>
    <w:p w:rsidR="0028674E" w:rsidRPr="0028674E" w:rsidRDefault="0028674E" w:rsidP="0028674E">
      <w:pPr>
        <w:jc w:val="center"/>
        <w:rPr>
          <w:rFonts w:ascii="Times New Roman" w:hAnsi="Times New Roman" w:cs="Times New Roman"/>
          <w:sz w:val="28"/>
          <w:szCs w:val="28"/>
        </w:rPr>
      </w:pPr>
      <w:r w:rsidRPr="0028674E">
        <w:rPr>
          <w:rFonts w:ascii="Times New Roman" w:hAnsi="Times New Roman" w:cs="Times New Roman"/>
          <w:sz w:val="28"/>
          <w:szCs w:val="28"/>
        </w:rPr>
        <w:t>Стр_31</w:t>
      </w:r>
    </w:p>
    <w:p w:rsidR="0028674E" w:rsidRDefault="0028674E" w:rsidP="0028674E">
      <w:pPr>
        <w:pStyle w:val="a4"/>
        <w:spacing w:before="0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8899438"/>
        <w:docPartObj>
          <w:docPartGallery w:val="Table of Contents"/>
          <w:docPartUnique/>
        </w:docPartObj>
      </w:sdtPr>
      <w:sdtContent>
        <w:p w:rsidR="0028674E" w:rsidRDefault="0028674E" w:rsidP="0028674E">
          <w:pPr>
            <w:pStyle w:val="a4"/>
            <w:spacing w:before="0"/>
            <w:rPr>
              <w:rFonts w:ascii="Times New Roman" w:hAnsi="Times New Roman" w:cs="Times New Roman"/>
              <w:b w:val="0"/>
              <w:color w:val="auto"/>
            </w:rPr>
          </w:pPr>
        </w:p>
        <w:p w:rsidR="0028674E" w:rsidRPr="002C4346" w:rsidRDefault="0028674E" w:rsidP="0028674E">
          <w:pPr>
            <w:spacing w:after="0" w:line="360" w:lineRule="auto"/>
            <w:ind w:firstLine="426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28674E" w:rsidRPr="002C4346" w:rsidRDefault="0028674E" w:rsidP="0028674E">
          <w:pPr>
            <w:pStyle w:val="11"/>
            <w:spacing w:line="360" w:lineRule="auto"/>
            <w:ind w:firstLine="426"/>
            <w:jc w:val="both"/>
            <w:rPr>
              <w:rFonts w:eastAsiaTheme="minorEastAsia"/>
              <w:spacing w:val="0"/>
            </w:rPr>
          </w:pPr>
          <w:r w:rsidRPr="002C4346">
            <w:fldChar w:fldCharType="begin"/>
          </w:r>
          <w:r w:rsidRPr="002C4346">
            <w:instrText xml:space="preserve"> TOC \o "1-3" \h \z \u </w:instrText>
          </w:r>
          <w:r w:rsidRPr="002C4346">
            <w:fldChar w:fldCharType="separate"/>
          </w:r>
          <w:hyperlink w:anchor="_Toc25590987" w:history="1">
            <w:r w:rsidRPr="002C4346">
              <w:rPr>
                <w:rStyle w:val="a3"/>
              </w:rPr>
              <w:t>Введение</w:t>
            </w:r>
          </w:hyperlink>
        </w:p>
        <w:p w:rsidR="0028674E" w:rsidRPr="002C4346" w:rsidRDefault="0028674E" w:rsidP="0028674E">
          <w:pPr>
            <w:pStyle w:val="11"/>
            <w:spacing w:line="360" w:lineRule="auto"/>
            <w:ind w:firstLine="426"/>
            <w:jc w:val="both"/>
            <w:rPr>
              <w:rFonts w:eastAsiaTheme="minorEastAsia"/>
              <w:spacing w:val="0"/>
            </w:rPr>
          </w:pPr>
          <w:hyperlink w:anchor="_Toc25590988" w:history="1">
            <w:r w:rsidRPr="002C4346">
              <w:rPr>
                <w:rStyle w:val="a3"/>
              </w:rPr>
              <w:t>1 Теоретические основы фиксированного налога</w:t>
            </w:r>
          </w:hyperlink>
        </w:p>
        <w:p w:rsidR="0028674E" w:rsidRPr="002C4346" w:rsidRDefault="0028674E" w:rsidP="0028674E">
          <w:pPr>
            <w:pStyle w:val="2"/>
            <w:tabs>
              <w:tab w:val="right" w:leader="dot" w:pos="9628"/>
            </w:tabs>
            <w:spacing w:after="0" w:line="360" w:lineRule="auto"/>
            <w:ind w:left="0" w:firstLine="426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5590989" w:history="1">
            <w:r w:rsidRPr="002C4346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1.1 Экономическое содержание фиксированного налога</w:t>
            </w:r>
          </w:hyperlink>
        </w:p>
        <w:p w:rsidR="0028674E" w:rsidRPr="002C4346" w:rsidRDefault="0028674E" w:rsidP="0028674E">
          <w:pPr>
            <w:pStyle w:val="2"/>
            <w:tabs>
              <w:tab w:val="right" w:leader="dot" w:pos="9628"/>
            </w:tabs>
            <w:spacing w:after="0" w:line="360" w:lineRule="auto"/>
            <w:ind w:left="0" w:firstLine="426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5590990" w:history="1">
            <w:r w:rsidRPr="002C4346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1.2 Порядок исчисления и уплаты фиксированного налога</w:t>
            </w:r>
          </w:hyperlink>
        </w:p>
        <w:p w:rsidR="0028674E" w:rsidRPr="002C4346" w:rsidRDefault="0028674E" w:rsidP="0028674E">
          <w:pPr>
            <w:pStyle w:val="2"/>
            <w:tabs>
              <w:tab w:val="right" w:leader="dot" w:pos="9628"/>
            </w:tabs>
            <w:spacing w:after="0" w:line="360" w:lineRule="auto"/>
            <w:ind w:left="0" w:firstLine="426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5590991" w:history="1">
            <w:r w:rsidRPr="002C4346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1.3 Международный опыт</w:t>
            </w:r>
          </w:hyperlink>
        </w:p>
        <w:p w:rsidR="0028674E" w:rsidRPr="002C4346" w:rsidRDefault="0028674E" w:rsidP="0028674E">
          <w:pPr>
            <w:pStyle w:val="11"/>
            <w:spacing w:line="360" w:lineRule="auto"/>
            <w:ind w:firstLine="426"/>
            <w:jc w:val="both"/>
            <w:rPr>
              <w:rFonts w:eastAsiaTheme="minorEastAsia"/>
              <w:spacing w:val="0"/>
            </w:rPr>
          </w:pPr>
          <w:hyperlink w:anchor="_Toc25590992" w:history="1">
            <w:r w:rsidRPr="002C4346">
              <w:rPr>
                <w:rStyle w:val="a3"/>
              </w:rPr>
              <w:t>2 Оценка поступлений фиксированного налога в государственный бюджет</w:t>
            </w:r>
          </w:hyperlink>
        </w:p>
        <w:p w:rsidR="0028674E" w:rsidRPr="002C4346" w:rsidRDefault="0028674E" w:rsidP="0028674E">
          <w:pPr>
            <w:pStyle w:val="2"/>
            <w:tabs>
              <w:tab w:val="right" w:leader="dot" w:pos="9628"/>
            </w:tabs>
            <w:spacing w:after="0" w:line="360" w:lineRule="auto"/>
            <w:ind w:left="0" w:firstLine="426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5590993" w:history="1">
            <w:r w:rsidRPr="002C4346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2.1 Особенности исчисления фиксированного налога</w:t>
            </w:r>
          </w:hyperlink>
        </w:p>
        <w:p w:rsidR="0028674E" w:rsidRPr="002C4346" w:rsidRDefault="0028674E" w:rsidP="0028674E">
          <w:pPr>
            <w:pStyle w:val="2"/>
            <w:tabs>
              <w:tab w:val="right" w:leader="dot" w:pos="9628"/>
            </w:tabs>
            <w:spacing w:after="0" w:line="360" w:lineRule="auto"/>
            <w:ind w:left="0" w:firstLine="426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5590994" w:history="1">
            <w:r w:rsidRPr="002C4346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2.2 Анализ поступлений фиксированного налога в местный бюджет</w:t>
            </w:r>
          </w:hyperlink>
        </w:p>
        <w:p w:rsidR="0028674E" w:rsidRPr="002C4346" w:rsidRDefault="0028674E" w:rsidP="0028674E">
          <w:pPr>
            <w:pStyle w:val="11"/>
            <w:spacing w:line="360" w:lineRule="auto"/>
            <w:ind w:firstLine="426"/>
            <w:jc w:val="both"/>
            <w:rPr>
              <w:rFonts w:eastAsiaTheme="minorEastAsia"/>
              <w:spacing w:val="0"/>
            </w:rPr>
          </w:pPr>
          <w:hyperlink w:anchor="_Toc25590995" w:history="1">
            <w:r w:rsidRPr="002C4346">
              <w:rPr>
                <w:rStyle w:val="a3"/>
              </w:rPr>
              <w:t>3 Проблемы налогообложения юридических лиц по вопросам фиксированного налога и пути их решения</w:t>
            </w:r>
          </w:hyperlink>
        </w:p>
        <w:p w:rsidR="0028674E" w:rsidRPr="002C4346" w:rsidRDefault="0028674E" w:rsidP="0028674E">
          <w:pPr>
            <w:pStyle w:val="11"/>
            <w:spacing w:line="360" w:lineRule="auto"/>
            <w:ind w:firstLine="426"/>
            <w:jc w:val="both"/>
            <w:rPr>
              <w:rFonts w:eastAsiaTheme="minorEastAsia"/>
              <w:spacing w:val="0"/>
            </w:rPr>
          </w:pPr>
          <w:hyperlink w:anchor="_Toc25590996" w:history="1">
            <w:r w:rsidRPr="002C4346">
              <w:rPr>
                <w:rStyle w:val="a3"/>
              </w:rPr>
              <w:t>Заключение</w:t>
            </w:r>
          </w:hyperlink>
        </w:p>
        <w:p w:rsidR="0028674E" w:rsidRPr="002C4346" w:rsidRDefault="0028674E" w:rsidP="0028674E">
          <w:pPr>
            <w:pStyle w:val="11"/>
            <w:spacing w:line="360" w:lineRule="auto"/>
            <w:ind w:firstLine="426"/>
            <w:jc w:val="both"/>
            <w:rPr>
              <w:rFonts w:eastAsiaTheme="minorEastAsia"/>
              <w:spacing w:val="0"/>
            </w:rPr>
          </w:pPr>
          <w:hyperlink w:anchor="_Toc25590997" w:history="1">
            <w:r w:rsidRPr="002C4346">
              <w:rPr>
                <w:rStyle w:val="a3"/>
              </w:rPr>
              <w:t>Список использованной литературы</w:t>
            </w:r>
          </w:hyperlink>
        </w:p>
        <w:p w:rsidR="0028674E" w:rsidRDefault="0028674E" w:rsidP="0028674E">
          <w:pPr>
            <w:spacing w:after="0" w:line="360" w:lineRule="auto"/>
            <w:ind w:firstLine="426"/>
            <w:jc w:val="both"/>
          </w:pPr>
          <w:r w:rsidRPr="002C4346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28674E" w:rsidRDefault="0028674E">
      <w:pPr>
        <w:spacing w:after="160" w:line="259" w:lineRule="auto"/>
      </w:pPr>
      <w:r>
        <w:br w:type="page"/>
      </w:r>
    </w:p>
    <w:p w:rsidR="0028674E" w:rsidRPr="002C2AF5" w:rsidRDefault="0028674E" w:rsidP="0028674E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</w:rPr>
      </w:pPr>
      <w:bookmarkStart w:id="0" w:name="_Toc25590996"/>
      <w:r w:rsidRPr="002C2AF5">
        <w:rPr>
          <w:rFonts w:ascii="Times New Roman" w:hAnsi="Times New Roman" w:cs="Times New Roman"/>
          <w:color w:val="auto"/>
        </w:rPr>
        <w:lastRenderedPageBreak/>
        <w:t>Заключение</w:t>
      </w:r>
      <w:bookmarkEnd w:id="0"/>
    </w:p>
    <w:p w:rsidR="0028674E" w:rsidRDefault="0028674E" w:rsidP="0028674E">
      <w:pPr>
        <w:widowControl w:val="0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674E" w:rsidRDefault="0028674E" w:rsidP="0028674E">
      <w:pPr>
        <w:widowControl w:val="0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исследования темы курсовой работы получены следующие выводы:</w:t>
      </w:r>
    </w:p>
    <w:p w:rsidR="0028674E" w:rsidRDefault="0028674E" w:rsidP="0028674E">
      <w:pPr>
        <w:pStyle w:val="a5"/>
        <w:widowControl w:val="0"/>
        <w:spacing w:before="0" w:beforeAutospacing="0" w:after="0" w:afterAutospacing="0" w:line="360" w:lineRule="auto"/>
        <w:ind w:firstLine="567"/>
        <w:jc w:val="both"/>
        <w:rPr>
          <w:rFonts w:eastAsiaTheme="majorEastAsia"/>
          <w:sz w:val="28"/>
          <w:szCs w:val="32"/>
        </w:rPr>
      </w:pPr>
      <w:r>
        <w:rPr>
          <w:sz w:val="28"/>
          <w:szCs w:val="28"/>
        </w:rPr>
        <w:t xml:space="preserve">1) </w:t>
      </w:r>
      <w:r w:rsidRPr="002665A9">
        <w:rPr>
          <w:sz w:val="28"/>
          <w:szCs w:val="28"/>
        </w:rPr>
        <w:t xml:space="preserve"> </w:t>
      </w:r>
      <w:r w:rsidRPr="0076570E">
        <w:rPr>
          <w:rStyle w:val="s0"/>
          <w:rFonts w:eastAsiaTheme="majorEastAsia"/>
          <w:sz w:val="28"/>
          <w:szCs w:val="32"/>
        </w:rPr>
        <w:t xml:space="preserve">фиксированный налог - это особый вид налога на игорный бизнес, собираемый по ставке в соответствии с Кодексом РК </w:t>
      </w:r>
      <w:r w:rsidRPr="0076570E">
        <w:rPr>
          <w:rFonts w:eastAsiaTheme="majorEastAsia"/>
          <w:sz w:val="28"/>
          <w:szCs w:val="32"/>
        </w:rPr>
        <w:t>«О налогах и других обязательных платежах в бюджет» ежемесячно</w:t>
      </w:r>
      <w:r>
        <w:rPr>
          <w:rFonts w:eastAsiaTheme="majorEastAsia"/>
          <w:sz w:val="28"/>
          <w:szCs w:val="32"/>
        </w:rPr>
        <w:t>;</w:t>
      </w:r>
    </w:p>
    <w:p w:rsidR="0028674E" w:rsidRDefault="0028674E" w:rsidP="0028674E">
      <w:pPr>
        <w:pStyle w:val="a5"/>
        <w:widowControl w:val="0"/>
        <w:spacing w:before="0" w:beforeAutospacing="0" w:after="0" w:afterAutospacing="0" w:line="360" w:lineRule="auto"/>
        <w:ind w:firstLine="567"/>
        <w:jc w:val="both"/>
        <w:rPr>
          <w:rStyle w:val="s0"/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32"/>
        </w:rPr>
        <w:t xml:space="preserve">2) </w:t>
      </w:r>
      <w:r w:rsidRPr="00833251">
        <w:rPr>
          <w:rStyle w:val="s0"/>
          <w:rFonts w:eastAsiaTheme="majorEastAsia"/>
          <w:sz w:val="28"/>
          <w:szCs w:val="28"/>
        </w:rPr>
        <w:t>фиксированный налог подлежит отражению в декларации по фиксированному налогу (форма 940), которую плательщики фиксированного налога обязаны представлять ежеквартально в налоговый орган</w:t>
      </w:r>
      <w:r>
        <w:rPr>
          <w:rStyle w:val="s0"/>
          <w:rFonts w:eastAsiaTheme="majorEastAsia"/>
          <w:sz w:val="28"/>
          <w:szCs w:val="28"/>
        </w:rPr>
        <w:t>;</w:t>
      </w:r>
    </w:p>
    <w:p w:rsidR="0028674E" w:rsidRDefault="0028674E">
      <w:pPr>
        <w:spacing w:after="160" w:line="259" w:lineRule="auto"/>
      </w:pPr>
      <w:r>
        <w:br w:type="page"/>
      </w:r>
    </w:p>
    <w:p w:rsidR="0028674E" w:rsidRPr="00813A73" w:rsidRDefault="0028674E" w:rsidP="0028674E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</w:rPr>
      </w:pPr>
      <w:bookmarkStart w:id="1" w:name="_Toc25590997"/>
      <w:r w:rsidRPr="00813A73">
        <w:rPr>
          <w:rFonts w:ascii="Times New Roman" w:hAnsi="Times New Roman" w:cs="Times New Roman"/>
          <w:color w:val="auto"/>
        </w:rPr>
        <w:lastRenderedPageBreak/>
        <w:t>Список использованной литературы</w:t>
      </w:r>
      <w:bookmarkEnd w:id="1"/>
    </w:p>
    <w:p w:rsidR="0028674E" w:rsidRDefault="0028674E" w:rsidP="002867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674E" w:rsidRPr="00813A73" w:rsidRDefault="0028674E" w:rsidP="002867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3A73">
        <w:rPr>
          <w:rFonts w:ascii="Times New Roman" w:hAnsi="Times New Roman" w:cs="Times New Roman"/>
          <w:sz w:val="28"/>
          <w:szCs w:val="28"/>
        </w:rPr>
        <w:t>1 Кодекс Республики Казахстан от 25 декабря 2017 года № 120-VI «О налогах и других обязательных платежах в бюджет (Налоговый кодекс)» (с изменениями и дополнениями по состоянию на 28.10.2019 г.). Электронный ресурс: https://online.zakon.kz/document/?doc_id=36148637;</w:t>
      </w:r>
    </w:p>
    <w:p w:rsidR="0028674E" w:rsidRPr="00813A73" w:rsidRDefault="0028674E" w:rsidP="002867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3A73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813A73">
        <w:rPr>
          <w:rFonts w:ascii="Times New Roman" w:eastAsia="Times New Roman" w:hAnsi="Times New Roman" w:cs="Times New Roman"/>
          <w:sz w:val="28"/>
          <w:szCs w:val="28"/>
        </w:rPr>
        <w:t>Зейнельгабдин</w:t>
      </w:r>
      <w:proofErr w:type="spellEnd"/>
      <w:r w:rsidRPr="00813A73">
        <w:rPr>
          <w:rFonts w:ascii="Times New Roman" w:eastAsia="Times New Roman" w:hAnsi="Times New Roman" w:cs="Times New Roman"/>
          <w:sz w:val="28"/>
          <w:szCs w:val="28"/>
        </w:rPr>
        <w:t xml:space="preserve"> А.Б. Финансовая система: экономическое содержание и механизм использования. -Алматы: </w:t>
      </w:r>
      <w:proofErr w:type="spellStart"/>
      <w:r w:rsidRPr="00813A73">
        <w:rPr>
          <w:rFonts w:ascii="Times New Roman" w:eastAsia="Times New Roman" w:hAnsi="Times New Roman" w:cs="Times New Roman"/>
          <w:sz w:val="28"/>
          <w:szCs w:val="28"/>
        </w:rPr>
        <w:t>Каржы</w:t>
      </w:r>
      <w:proofErr w:type="spellEnd"/>
      <w:r w:rsidRPr="00813A73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proofErr w:type="spellStart"/>
      <w:r w:rsidRPr="00813A73">
        <w:rPr>
          <w:rFonts w:ascii="Times New Roman" w:eastAsia="Times New Roman" w:hAnsi="Times New Roman" w:cs="Times New Roman"/>
          <w:sz w:val="28"/>
          <w:szCs w:val="28"/>
        </w:rPr>
        <w:t>Каражат</w:t>
      </w:r>
      <w:proofErr w:type="spellEnd"/>
      <w:r w:rsidRPr="00813A73">
        <w:rPr>
          <w:rFonts w:ascii="Times New Roman" w:eastAsia="Times New Roman" w:hAnsi="Times New Roman" w:cs="Times New Roman"/>
          <w:sz w:val="28"/>
          <w:szCs w:val="28"/>
        </w:rPr>
        <w:t xml:space="preserve"> -Финансы</w:t>
      </w:r>
      <w:r w:rsidRPr="00813A73">
        <w:rPr>
          <w:rFonts w:ascii="Times New Roman" w:hAnsi="Times New Roman" w:cs="Times New Roman"/>
          <w:sz w:val="28"/>
          <w:szCs w:val="28"/>
        </w:rPr>
        <w:t xml:space="preserve"> </w:t>
      </w:r>
      <w:r w:rsidRPr="00813A73">
        <w:rPr>
          <w:rFonts w:ascii="Times New Roman" w:eastAsia="Times New Roman" w:hAnsi="Times New Roman" w:cs="Times New Roman"/>
          <w:sz w:val="28"/>
          <w:szCs w:val="28"/>
        </w:rPr>
        <w:t xml:space="preserve">Казахстана, </w:t>
      </w:r>
      <w:r w:rsidRPr="00813A73">
        <w:rPr>
          <w:rFonts w:ascii="Times New Roman" w:hAnsi="Times New Roman" w:cs="Times New Roman"/>
          <w:sz w:val="28"/>
          <w:szCs w:val="28"/>
        </w:rPr>
        <w:t>2017</w:t>
      </w:r>
      <w:r w:rsidRPr="00813A73">
        <w:rPr>
          <w:rFonts w:ascii="Times New Roman" w:eastAsia="Times New Roman" w:hAnsi="Times New Roman" w:cs="Times New Roman"/>
          <w:sz w:val="28"/>
          <w:szCs w:val="28"/>
        </w:rPr>
        <w:t>. -160 с.</w:t>
      </w:r>
      <w:r w:rsidRPr="00813A73">
        <w:rPr>
          <w:rFonts w:ascii="Times New Roman" w:hAnsi="Times New Roman" w:cs="Times New Roman"/>
          <w:sz w:val="28"/>
          <w:szCs w:val="28"/>
        </w:rPr>
        <w:t>;</w:t>
      </w:r>
    </w:p>
    <w:p w:rsidR="0028674E" w:rsidRPr="00813A73" w:rsidRDefault="0028674E" w:rsidP="0028674E">
      <w:pPr>
        <w:spacing w:after="0" w:line="360" w:lineRule="auto"/>
        <w:ind w:firstLine="567"/>
        <w:jc w:val="both"/>
        <w:rPr>
          <w:rStyle w:val="j21"/>
          <w:rFonts w:ascii="Times New Roman" w:hAnsi="Times New Roman" w:cs="Times New Roman"/>
          <w:iCs/>
          <w:sz w:val="28"/>
          <w:szCs w:val="28"/>
        </w:rPr>
      </w:pPr>
      <w:r w:rsidRPr="00813A73">
        <w:rPr>
          <w:rFonts w:ascii="Times New Roman" w:hAnsi="Times New Roman" w:cs="Times New Roman"/>
          <w:sz w:val="28"/>
          <w:szCs w:val="28"/>
        </w:rPr>
        <w:t>3</w:t>
      </w:r>
      <w:r w:rsidRPr="00813A73">
        <w:rPr>
          <w:rStyle w:val="s1"/>
          <w:rFonts w:ascii="Times New Roman" w:hAnsi="Times New Roman" w:cs="Times New Roman"/>
          <w:sz w:val="28"/>
          <w:szCs w:val="28"/>
        </w:rPr>
        <w:t xml:space="preserve"> Ставки фиксированного налога </w:t>
      </w:r>
      <w:r w:rsidRPr="00813A73">
        <w:rPr>
          <w:rStyle w:val="j21"/>
          <w:rFonts w:ascii="Times New Roman" w:hAnsi="Times New Roman" w:cs="Times New Roman"/>
          <w:iCs/>
          <w:sz w:val="28"/>
          <w:szCs w:val="28"/>
        </w:rPr>
        <w:t>(по состоянию на 2019 год). Электронный ресурс: https://online.zakon.kz/document/?doc_id=30394398#pos=0;0;</w:t>
      </w:r>
    </w:p>
    <w:p w:rsidR="0028674E" w:rsidRPr="00813A73" w:rsidRDefault="0028674E" w:rsidP="002867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3A73">
        <w:rPr>
          <w:rStyle w:val="j21"/>
          <w:rFonts w:ascii="Times New Roman" w:hAnsi="Times New Roman" w:cs="Times New Roman"/>
          <w:iCs/>
          <w:sz w:val="28"/>
          <w:szCs w:val="28"/>
        </w:rPr>
        <w:t xml:space="preserve">4 </w:t>
      </w:r>
      <w:proofErr w:type="spellStart"/>
      <w:r w:rsidRPr="00813A73">
        <w:rPr>
          <w:rFonts w:ascii="Times New Roman" w:eastAsia="Times New Roman" w:hAnsi="Times New Roman" w:cs="Times New Roman"/>
          <w:sz w:val="28"/>
          <w:szCs w:val="28"/>
        </w:rPr>
        <w:t>Карагусова</w:t>
      </w:r>
      <w:proofErr w:type="spellEnd"/>
      <w:r w:rsidRPr="00813A73">
        <w:rPr>
          <w:rFonts w:ascii="Times New Roman" w:eastAsia="Times New Roman" w:hAnsi="Times New Roman" w:cs="Times New Roman"/>
          <w:sz w:val="28"/>
          <w:szCs w:val="28"/>
        </w:rPr>
        <w:t xml:space="preserve"> Г. Налоги: сущность и практика использования.</w:t>
      </w:r>
      <w:r w:rsidRPr="00813A73">
        <w:rPr>
          <w:rFonts w:ascii="Times New Roman" w:hAnsi="Times New Roman" w:cs="Times New Roman"/>
          <w:sz w:val="28"/>
          <w:szCs w:val="28"/>
        </w:rPr>
        <w:t xml:space="preserve"> </w:t>
      </w:r>
      <w:r w:rsidRPr="00813A73">
        <w:rPr>
          <w:rFonts w:ascii="Times New Roman" w:eastAsia="Times New Roman" w:hAnsi="Times New Roman" w:cs="Times New Roman"/>
          <w:sz w:val="28"/>
          <w:szCs w:val="28"/>
        </w:rPr>
        <w:t xml:space="preserve">-Алматы: </w:t>
      </w:r>
      <w:proofErr w:type="spellStart"/>
      <w:r w:rsidRPr="00813A73">
        <w:rPr>
          <w:rFonts w:ascii="Times New Roman" w:eastAsia="Times New Roman" w:hAnsi="Times New Roman" w:cs="Times New Roman"/>
          <w:sz w:val="28"/>
          <w:szCs w:val="28"/>
        </w:rPr>
        <w:t>Каржы</w:t>
      </w:r>
      <w:proofErr w:type="spellEnd"/>
      <w:r w:rsidRPr="00813A73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proofErr w:type="spellStart"/>
      <w:r w:rsidRPr="00813A73">
        <w:rPr>
          <w:rFonts w:ascii="Times New Roman" w:eastAsia="Times New Roman" w:hAnsi="Times New Roman" w:cs="Times New Roman"/>
          <w:sz w:val="28"/>
          <w:szCs w:val="28"/>
        </w:rPr>
        <w:t>каражат</w:t>
      </w:r>
      <w:proofErr w:type="spellEnd"/>
      <w:r w:rsidRPr="00813A73">
        <w:rPr>
          <w:rFonts w:ascii="Times New Roman" w:eastAsia="Times New Roman" w:hAnsi="Times New Roman" w:cs="Times New Roman"/>
          <w:sz w:val="28"/>
          <w:szCs w:val="28"/>
        </w:rPr>
        <w:t xml:space="preserve"> -Финансы Казахстана, </w:t>
      </w:r>
      <w:r w:rsidRPr="00813A73">
        <w:rPr>
          <w:rFonts w:ascii="Times New Roman" w:hAnsi="Times New Roman" w:cs="Times New Roman"/>
          <w:sz w:val="28"/>
          <w:szCs w:val="28"/>
        </w:rPr>
        <w:t>2018</w:t>
      </w:r>
      <w:r w:rsidRPr="00813A73">
        <w:rPr>
          <w:rFonts w:ascii="Times New Roman" w:eastAsia="Times New Roman" w:hAnsi="Times New Roman" w:cs="Times New Roman"/>
          <w:sz w:val="28"/>
          <w:szCs w:val="28"/>
        </w:rPr>
        <w:t>. -</w:t>
      </w:r>
      <w:r w:rsidRPr="00813A73">
        <w:rPr>
          <w:rFonts w:ascii="Times New Roman" w:hAnsi="Times New Roman" w:cs="Times New Roman"/>
          <w:sz w:val="28"/>
          <w:szCs w:val="28"/>
        </w:rPr>
        <w:t xml:space="preserve"> </w:t>
      </w:r>
      <w:r w:rsidRPr="00813A7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13A73">
        <w:rPr>
          <w:rFonts w:ascii="Times New Roman" w:hAnsi="Times New Roman" w:cs="Times New Roman"/>
          <w:sz w:val="28"/>
          <w:szCs w:val="28"/>
        </w:rPr>
        <w:t>0</w:t>
      </w:r>
      <w:r w:rsidRPr="00813A73">
        <w:rPr>
          <w:rFonts w:ascii="Times New Roman" w:eastAsia="Times New Roman" w:hAnsi="Times New Roman" w:cs="Times New Roman"/>
          <w:sz w:val="28"/>
          <w:szCs w:val="28"/>
        </w:rPr>
        <w:t>8с.</w:t>
      </w:r>
      <w:r w:rsidRPr="00813A73">
        <w:rPr>
          <w:rFonts w:ascii="Times New Roman" w:hAnsi="Times New Roman" w:cs="Times New Roman"/>
          <w:sz w:val="28"/>
          <w:szCs w:val="28"/>
        </w:rPr>
        <w:t>;</w:t>
      </w:r>
    </w:p>
    <w:p w:rsidR="0028674E" w:rsidRPr="00813A73" w:rsidRDefault="0028674E" w:rsidP="002867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3A73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813A73">
        <w:rPr>
          <w:rFonts w:ascii="Times New Roman" w:eastAsia="Times New Roman" w:hAnsi="Times New Roman" w:cs="Times New Roman"/>
          <w:sz w:val="28"/>
          <w:szCs w:val="28"/>
        </w:rPr>
        <w:t>Карагусова</w:t>
      </w:r>
      <w:proofErr w:type="spellEnd"/>
      <w:r w:rsidRPr="00813A73">
        <w:rPr>
          <w:rFonts w:ascii="Times New Roman" w:eastAsia="Times New Roman" w:hAnsi="Times New Roman" w:cs="Times New Roman"/>
          <w:sz w:val="28"/>
          <w:szCs w:val="28"/>
        </w:rPr>
        <w:t xml:space="preserve"> Г.Ж. Налоговый</w:t>
      </w:r>
      <w:r w:rsidRPr="00813A73">
        <w:rPr>
          <w:rFonts w:ascii="Times New Roman" w:hAnsi="Times New Roman" w:cs="Times New Roman"/>
          <w:sz w:val="28"/>
          <w:szCs w:val="28"/>
        </w:rPr>
        <w:t xml:space="preserve"> кодекс сложен для исполнения. Электронный ресурс</w:t>
      </w:r>
      <w:r w:rsidRPr="00813A7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813A73">
        <w:rPr>
          <w:rFonts w:ascii="Times New Roman" w:hAnsi="Times New Roman" w:cs="Times New Roman"/>
          <w:sz w:val="28"/>
          <w:szCs w:val="28"/>
        </w:rPr>
        <w:t xml:space="preserve"> </w:t>
      </w:r>
      <w:r w:rsidRPr="00813A73">
        <w:rPr>
          <w:rFonts w:ascii="Times New Roman" w:eastAsia="Times New Roman" w:hAnsi="Times New Roman" w:cs="Times New Roman"/>
          <w:sz w:val="28"/>
          <w:szCs w:val="28"/>
        </w:rPr>
        <w:t>http://www.zakon.kz/189618-gulzhana-karagusova-nalogovyjj-kodeks.html</w:t>
      </w:r>
      <w:r w:rsidRPr="00813A73">
        <w:rPr>
          <w:rFonts w:ascii="Times New Roman" w:hAnsi="Times New Roman" w:cs="Times New Roman"/>
          <w:sz w:val="28"/>
          <w:szCs w:val="28"/>
        </w:rPr>
        <w:t>;</w:t>
      </w:r>
    </w:p>
    <w:p w:rsidR="00CD3312" w:rsidRDefault="00CD3312">
      <w:bookmarkStart w:id="2" w:name="_GoBack"/>
      <w:bookmarkEnd w:id="2"/>
    </w:p>
    <w:sectPr w:rsidR="00CD3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B8B"/>
    <w:rsid w:val="0028674E"/>
    <w:rsid w:val="00CD3312"/>
    <w:rsid w:val="00F7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69EA2"/>
  <w15:chartTrackingRefBased/>
  <w15:docId w15:val="{B0D07E0F-97B9-4572-BA20-C79FE845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74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867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674E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28674E"/>
    <w:pPr>
      <w:tabs>
        <w:tab w:val="right" w:leader="dot" w:pos="9628"/>
      </w:tabs>
      <w:spacing w:after="0" w:line="240" w:lineRule="auto"/>
    </w:pPr>
    <w:rPr>
      <w:rFonts w:ascii="Times New Roman" w:hAnsi="Times New Roman" w:cs="Times New Roman"/>
      <w:noProof/>
      <w:spacing w:val="-2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7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semiHidden/>
    <w:unhideWhenUsed/>
    <w:qFormat/>
    <w:rsid w:val="0028674E"/>
    <w:pPr>
      <w:spacing w:before="480"/>
      <w:outlineLvl w:val="9"/>
    </w:pPr>
    <w:rPr>
      <w:b/>
      <w:bCs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rsid w:val="0028674E"/>
    <w:pPr>
      <w:spacing w:after="100"/>
      <w:ind w:left="220"/>
    </w:pPr>
  </w:style>
  <w:style w:type="paragraph" w:styleId="a5">
    <w:name w:val="Normal (Web)"/>
    <w:basedOn w:val="a"/>
    <w:uiPriority w:val="99"/>
    <w:unhideWhenUsed/>
    <w:rsid w:val="00286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28674E"/>
  </w:style>
  <w:style w:type="character" w:customStyle="1" w:styleId="s1">
    <w:name w:val="s1"/>
    <w:basedOn w:val="a0"/>
    <w:rsid w:val="0028674E"/>
  </w:style>
  <w:style w:type="character" w:customStyle="1" w:styleId="j21">
    <w:name w:val="j21"/>
    <w:basedOn w:val="a0"/>
    <w:rsid w:val="00286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2020-10-07T10:12:00Z</dcterms:created>
  <dcterms:modified xsi:type="dcterms:W3CDTF">2020-10-07T10:14:00Z</dcterms:modified>
</cp:coreProperties>
</file>