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9F" w:rsidRDefault="00917B25" w:rsidP="00917B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7B2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17B25">
        <w:rPr>
          <w:rFonts w:ascii="Times New Roman" w:hAnsi="Times New Roman" w:cs="Times New Roman"/>
          <w:sz w:val="28"/>
          <w:szCs w:val="28"/>
        </w:rPr>
        <w:t>__Функции и операции Пенсионных фондов</w:t>
      </w:r>
    </w:p>
    <w:p w:rsidR="00917B25" w:rsidRDefault="00917B25" w:rsidP="00917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Стр-32</w:t>
      </w:r>
    </w:p>
    <w:sdt>
      <w:sdtPr>
        <w:rPr>
          <w:rFonts w:eastAsia="Arial Unicode MS" w:cs="Times New Roman"/>
          <w:caps w:val="0"/>
          <w:sz w:val="24"/>
          <w:szCs w:val="24"/>
          <w:bdr w:val="none" w:sz="0" w:space="0" w:color="auto" w:frame="1"/>
          <w:lang w:val="en-US" w:eastAsia="en-US"/>
        </w:rPr>
        <w:id w:val="-78712275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val="ru-RU"/>
        </w:rPr>
      </w:sdtEndPr>
      <w:sdtContent>
        <w:p w:rsidR="00917B25" w:rsidRDefault="00917B25" w:rsidP="00917B25">
          <w:pPr>
            <w:pStyle w:val="a4"/>
            <w:spacing w:line="240" w:lineRule="auto"/>
            <w:ind w:right="397" w:firstLine="0"/>
            <w:rPr>
              <w:szCs w:val="28"/>
            </w:rPr>
          </w:pPr>
        </w:p>
        <w:p w:rsidR="00917B25" w:rsidRDefault="00917B25" w:rsidP="00917B25">
          <w:pPr>
            <w:pStyle w:val="11"/>
            <w:tabs>
              <w:tab w:val="right" w:leader="dot" w:pos="9628"/>
            </w:tabs>
            <w:spacing w:after="0"/>
            <w:ind w:right="397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 w:frame="1"/>
              <w:lang w:val="ru-RU" w:eastAsia="ru-RU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TOC \o "1-3" \h \z \u </w:instrText>
          </w:r>
          <w:r>
            <w:rPr>
              <w:sz w:val="28"/>
              <w:szCs w:val="28"/>
            </w:rPr>
            <w:fldChar w:fldCharType="separate"/>
          </w:r>
          <w:hyperlink r:id="rId4" w:anchor="_Toc512004723" w:history="1">
            <w:r>
              <w:rPr>
                <w:rStyle w:val="a3"/>
                <w:noProof/>
                <w:color w:val="000000"/>
                <w:sz w:val="28"/>
                <w:szCs w:val="28"/>
              </w:rPr>
              <w:t>ВВЕДЕНИЕ</w:t>
            </w:r>
          </w:hyperlink>
        </w:p>
        <w:p w:rsidR="00917B25" w:rsidRDefault="00917B25" w:rsidP="00917B25">
          <w:pPr>
            <w:pStyle w:val="11"/>
            <w:tabs>
              <w:tab w:val="right" w:leader="dot" w:pos="9628"/>
            </w:tabs>
            <w:spacing w:after="0"/>
            <w:ind w:right="397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 w:frame="1"/>
              <w:lang w:val="ru-RU" w:eastAsia="ru-RU"/>
            </w:rPr>
          </w:pPr>
          <w:hyperlink r:id="rId5" w:anchor="_Toc512004724" w:history="1">
            <w:r>
              <w:rPr>
                <w:rStyle w:val="a3"/>
                <w:noProof/>
                <w:color w:val="000000"/>
                <w:sz w:val="28"/>
                <w:szCs w:val="28"/>
              </w:rPr>
              <w:t>1 ТЕОРЕТИЧЕСКИЕ АСПЕКТЫ НАКОПИТЕЛЬНОЙ ПЕНСИОННОЙ СИСТЕМЫ</w:t>
            </w:r>
          </w:hyperlink>
        </w:p>
        <w:p w:rsidR="00917B25" w:rsidRDefault="00917B25" w:rsidP="00917B25">
          <w:pPr>
            <w:pStyle w:val="2"/>
            <w:tabs>
              <w:tab w:val="right" w:leader="dot" w:pos="9628"/>
            </w:tabs>
            <w:spacing w:after="0"/>
            <w:ind w:left="0" w:right="397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 w:frame="1"/>
              <w:lang w:val="ru-RU" w:eastAsia="ru-RU"/>
            </w:rPr>
          </w:pPr>
          <w:hyperlink r:id="rId6" w:anchor="_Toc512004725" w:history="1">
            <w:r>
              <w:rPr>
                <w:rStyle w:val="a3"/>
                <w:noProof/>
                <w:color w:val="000000"/>
                <w:sz w:val="28"/>
                <w:szCs w:val="28"/>
                <w:lang w:val="ru-RU"/>
              </w:rPr>
              <w:t>1.1 Необходимость и этапы модернизации пенсионной системы РК</w:t>
            </w:r>
          </w:hyperlink>
        </w:p>
        <w:p w:rsidR="00917B25" w:rsidRDefault="00917B25" w:rsidP="00917B25">
          <w:pPr>
            <w:pStyle w:val="2"/>
            <w:tabs>
              <w:tab w:val="right" w:leader="dot" w:pos="9628"/>
            </w:tabs>
            <w:spacing w:after="0"/>
            <w:ind w:left="0" w:right="397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 w:frame="1"/>
              <w:lang w:val="ru-RU" w:eastAsia="ru-RU"/>
            </w:rPr>
          </w:pPr>
          <w:hyperlink r:id="rId7" w:anchor="_Toc512004726" w:history="1">
            <w:r>
              <w:rPr>
                <w:rStyle w:val="a3"/>
                <w:noProof/>
                <w:color w:val="000000"/>
                <w:sz w:val="28"/>
                <w:szCs w:val="28"/>
                <w:lang w:val="ru-RU"/>
              </w:rPr>
              <w:t>1.2 Характеристика деятельности и структура накопительных пенсионных фондов</w:t>
            </w:r>
          </w:hyperlink>
        </w:p>
        <w:p w:rsidR="00917B25" w:rsidRDefault="00917B25" w:rsidP="00917B25">
          <w:pPr>
            <w:pStyle w:val="2"/>
            <w:tabs>
              <w:tab w:val="right" w:leader="dot" w:pos="9628"/>
            </w:tabs>
            <w:spacing w:after="0"/>
            <w:ind w:left="0" w:right="397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 w:frame="1"/>
              <w:lang w:val="ru-RU" w:eastAsia="ru-RU"/>
            </w:rPr>
          </w:pPr>
          <w:hyperlink r:id="rId8" w:anchor="_Toc512004727" w:history="1">
            <w:r>
              <w:rPr>
                <w:rStyle w:val="a3"/>
                <w:noProof/>
                <w:color w:val="000000"/>
                <w:sz w:val="28"/>
                <w:szCs w:val="28"/>
                <w:lang w:val="ru-RU"/>
              </w:rPr>
              <w:t>1.3 Функции и операции пенсионных компаний и фондов в РК</w:t>
            </w:r>
          </w:hyperlink>
        </w:p>
        <w:p w:rsidR="00917B25" w:rsidRDefault="00917B25" w:rsidP="00917B25">
          <w:pPr>
            <w:pStyle w:val="11"/>
            <w:tabs>
              <w:tab w:val="right" w:leader="dot" w:pos="9628"/>
            </w:tabs>
            <w:spacing w:after="0"/>
            <w:ind w:right="397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 w:frame="1"/>
              <w:lang w:val="ru-RU" w:eastAsia="ru-RU"/>
            </w:rPr>
          </w:pPr>
          <w:hyperlink r:id="rId9" w:anchor="_Toc512004728" w:history="1">
            <w:r>
              <w:rPr>
                <w:rStyle w:val="a3"/>
                <w:noProof/>
                <w:color w:val="000000"/>
                <w:sz w:val="28"/>
                <w:szCs w:val="28"/>
              </w:rPr>
              <w:t>2 АНАЛИЗ ДЕЯТЕЛЬНОСТИ ПЕНСИОННЫХ КОМПАНИИ И ФОНДОВ В РК</w:t>
            </w:r>
          </w:hyperlink>
        </w:p>
        <w:p w:rsidR="00917B25" w:rsidRDefault="00917B25" w:rsidP="00917B25">
          <w:pPr>
            <w:pStyle w:val="2"/>
            <w:tabs>
              <w:tab w:val="right" w:leader="dot" w:pos="9628"/>
            </w:tabs>
            <w:spacing w:after="0"/>
            <w:ind w:left="0" w:right="397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 w:frame="1"/>
              <w:lang w:val="ru-RU" w:eastAsia="ru-RU"/>
            </w:rPr>
          </w:pPr>
          <w:hyperlink r:id="rId10" w:anchor="_Toc512004729" w:history="1">
            <w:r>
              <w:rPr>
                <w:rStyle w:val="a3"/>
                <w:noProof/>
                <w:color w:val="000000"/>
                <w:sz w:val="28"/>
                <w:szCs w:val="28"/>
                <w:lang w:val="ru-RU"/>
              </w:rPr>
              <w:t>2.1 Динамика и состав пенсионных накоплений вкладчиков и пенсионных выплат в РК</w:t>
            </w:r>
          </w:hyperlink>
        </w:p>
        <w:p w:rsidR="00917B25" w:rsidRDefault="00917B25" w:rsidP="00917B25">
          <w:pPr>
            <w:pStyle w:val="2"/>
            <w:tabs>
              <w:tab w:val="right" w:leader="dot" w:pos="9628"/>
            </w:tabs>
            <w:spacing w:after="0"/>
            <w:ind w:left="0" w:right="397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 w:frame="1"/>
              <w:lang w:val="ru-RU" w:eastAsia="ru-RU"/>
            </w:rPr>
          </w:pPr>
          <w:hyperlink r:id="rId11" w:anchor="_Toc512004730" w:history="1">
            <w:r>
              <w:rPr>
                <w:rStyle w:val="a3"/>
                <w:noProof/>
                <w:color w:val="000000"/>
                <w:sz w:val="28"/>
                <w:szCs w:val="28"/>
                <w:lang w:val="ru-RU"/>
              </w:rPr>
              <w:t>2.2 Анализ финансовой деятельности Единого накопительного пенсионного фонда</w:t>
            </w:r>
          </w:hyperlink>
        </w:p>
        <w:p w:rsidR="00917B25" w:rsidRDefault="00917B25" w:rsidP="00917B25">
          <w:pPr>
            <w:pStyle w:val="2"/>
            <w:tabs>
              <w:tab w:val="right" w:leader="dot" w:pos="9628"/>
            </w:tabs>
            <w:spacing w:after="0"/>
            <w:ind w:left="0" w:right="397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 w:frame="1"/>
              <w:lang w:val="ru-RU" w:eastAsia="ru-RU"/>
            </w:rPr>
          </w:pPr>
          <w:hyperlink r:id="rId12" w:anchor="_Toc512004731" w:history="1">
            <w:r>
              <w:rPr>
                <w:rStyle w:val="a3"/>
                <w:noProof/>
                <w:color w:val="000000"/>
                <w:sz w:val="28"/>
                <w:szCs w:val="28"/>
                <w:lang w:val="ru-RU"/>
              </w:rPr>
              <w:t>2.3 Оценка современного состояния операции пенсионных компании и фондов в РК</w:t>
            </w:r>
          </w:hyperlink>
        </w:p>
        <w:p w:rsidR="00917B25" w:rsidRDefault="00917B25" w:rsidP="00917B25">
          <w:pPr>
            <w:pStyle w:val="11"/>
            <w:tabs>
              <w:tab w:val="right" w:leader="dot" w:pos="9628"/>
            </w:tabs>
            <w:spacing w:after="0"/>
            <w:ind w:right="397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 w:frame="1"/>
              <w:lang w:val="ru-RU" w:eastAsia="ru-RU"/>
            </w:rPr>
          </w:pPr>
          <w:hyperlink r:id="rId13" w:anchor="_Toc512004732" w:history="1">
            <w:r>
              <w:rPr>
                <w:rStyle w:val="a3"/>
                <w:noProof/>
                <w:color w:val="000000"/>
                <w:sz w:val="28"/>
                <w:szCs w:val="28"/>
                <w:lang w:val="ru-RU"/>
              </w:rPr>
              <w:t>3 СОВЕРШЕНСТВОВАНИЕ ДЕЯТЕЛЬНОСТИ ПО ОПЕРАЦИЯМ ПЕНСИОННЫХ КОМПАНИИ И ФОНДОВ В РК</w:t>
            </w:r>
          </w:hyperlink>
        </w:p>
        <w:p w:rsidR="00917B25" w:rsidRDefault="00917B25" w:rsidP="00917B25">
          <w:pPr>
            <w:pStyle w:val="11"/>
            <w:tabs>
              <w:tab w:val="right" w:leader="dot" w:pos="9628"/>
            </w:tabs>
            <w:spacing w:after="0"/>
            <w:ind w:right="397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 w:frame="1"/>
              <w:lang w:val="ru-RU" w:eastAsia="ru-RU"/>
            </w:rPr>
          </w:pPr>
          <w:hyperlink r:id="rId14" w:anchor="_Toc512004733" w:history="1">
            <w:r>
              <w:rPr>
                <w:rStyle w:val="a3"/>
                <w:noProof/>
                <w:color w:val="000000"/>
                <w:sz w:val="28"/>
                <w:szCs w:val="28"/>
              </w:rPr>
              <w:t>ЗАКЛЮЧЕНИЕ</w:t>
            </w:r>
          </w:hyperlink>
        </w:p>
        <w:p w:rsidR="00917B25" w:rsidRDefault="00917B25" w:rsidP="00917B25">
          <w:pPr>
            <w:pStyle w:val="11"/>
            <w:tabs>
              <w:tab w:val="right" w:leader="dot" w:pos="9628"/>
            </w:tabs>
            <w:spacing w:after="0"/>
            <w:ind w:right="397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 w:frame="1"/>
              <w:lang w:val="ru-RU" w:eastAsia="ru-RU"/>
            </w:rPr>
          </w:pPr>
          <w:hyperlink r:id="rId15" w:anchor="_Toc512004734" w:history="1">
            <w:r>
              <w:rPr>
                <w:rStyle w:val="a3"/>
                <w:noProof/>
                <w:color w:val="000000"/>
                <w:sz w:val="28"/>
                <w:szCs w:val="28"/>
                <w:lang w:val="ru-RU"/>
              </w:rPr>
              <w:t>СПИСОК ИСПОЛЬЗОВАННОЙ ЛИТЕРАТУРЫ</w:t>
            </w:r>
          </w:hyperlink>
        </w:p>
        <w:p w:rsidR="00917B25" w:rsidRDefault="00917B25" w:rsidP="00917B25">
          <w:pPr>
            <w:pStyle w:val="11"/>
            <w:tabs>
              <w:tab w:val="right" w:leader="dot" w:pos="9628"/>
            </w:tabs>
            <w:spacing w:after="0"/>
            <w:ind w:right="397"/>
            <w:rPr>
              <w:rFonts w:asciiTheme="minorHAnsi" w:eastAsiaTheme="minorEastAsia" w:hAnsiTheme="minorHAnsi" w:cstheme="minorBidi"/>
              <w:noProof/>
              <w:sz w:val="28"/>
              <w:szCs w:val="28"/>
              <w:bdr w:val="none" w:sz="0" w:space="0" w:color="auto" w:frame="1"/>
              <w:lang w:val="ru-RU" w:eastAsia="ru-RU"/>
            </w:rPr>
          </w:pPr>
        </w:p>
        <w:p w:rsidR="00917B25" w:rsidRDefault="00917B25" w:rsidP="00917B25">
          <w:pPr>
            <w:ind w:right="397"/>
            <w:rPr>
              <w:rFonts w:ascii="Times New Roman" w:eastAsia="Arial Unicode MS" w:hAnsi="Times New Roman" w:cs="Times New Roman"/>
              <w:sz w:val="24"/>
              <w:szCs w:val="24"/>
              <w:lang w:val="en-US"/>
            </w:rPr>
          </w:pPr>
          <w:r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17B25" w:rsidRDefault="00917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7B25" w:rsidRPr="00917B25" w:rsidRDefault="00917B25" w:rsidP="00917B25">
      <w:pPr>
        <w:pStyle w:val="1"/>
        <w:rPr>
          <w:rFonts w:ascii="Times New Roman" w:hAnsi="Times New Roman" w:cs="Times New Roman"/>
          <w:color w:val="auto"/>
        </w:rPr>
      </w:pPr>
      <w:bookmarkStart w:id="0" w:name="_Toc512004733"/>
      <w:r w:rsidRPr="00917B25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917B25" w:rsidRDefault="00917B25" w:rsidP="00917B25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B25" w:rsidRDefault="00917B25" w:rsidP="00917B25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Пенсионное обеспечение Казахстана представляет собой многоуровневую систему, состоящую из солидарного компонента, обязательного накопительного и добровольного накопительного компонентов. Солидарный компонент гарантируется государством и выплачивается НАО «Государственная Корпорация «Правительство для граждан» (далее «ГК»). Обязательный накопительный компонент пенсии, скорректированный на инфляцию, также гарантируется государством. Таким образом, если в момент наступления права на пенсионные выплаты из Схемы, сумма пенсионных накоплений меньше всех пенсионных взносов с поправкой на уровень инфляции, государство гарантирует возместить разницу.</w:t>
      </w:r>
    </w:p>
    <w:p w:rsidR="00917B25" w:rsidRDefault="00917B25" w:rsidP="00917B25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трансформации пенсионной системы Республики Казахстан обусловлена таким аспектами как:</w:t>
      </w:r>
    </w:p>
    <w:p w:rsidR="00917B25" w:rsidRDefault="00917B25" w:rsidP="00917B25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отходом солидарной пенсии как компонента пенсионной системы к 2040 году;</w:t>
      </w:r>
    </w:p>
    <w:p w:rsidR="00917B25" w:rsidRDefault="00917B25" w:rsidP="00917B25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увеличением продолжительности жизни;</w:t>
      </w:r>
    </w:p>
    <w:p w:rsidR="00917B25" w:rsidRDefault="00917B25" w:rsidP="00917B25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ростом пенсионного возраста для женщин с 2018 года, обозначенным необходимостью и увеличением пенсионных накоплений женщин для обеспечения достойного уровня жизни в пенсионном возрасте;</w:t>
      </w:r>
    </w:p>
    <w:p w:rsidR="00917B25" w:rsidRDefault="00917B25" w:rsidP="00917B25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нехваткой мотивов для участия в системе, мало развитым привлечением добровольных пенсионных взносов.</w:t>
      </w:r>
    </w:p>
    <w:p w:rsidR="00917B25" w:rsidRDefault="00917B25" w:rsidP="00917B25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понижением величин солидарных пенсий и нуждой дальнейшей диверсификации источников пенсионных выплат;</w:t>
      </w:r>
    </w:p>
    <w:p w:rsidR="00917B25" w:rsidRDefault="00917B25" w:rsidP="00917B25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потребностью дальнейшей оптимизации разделения ответственности за пенсионное обеспечение между государством, работодателем и работником.</w:t>
      </w:r>
    </w:p>
    <w:p w:rsidR="00917B25" w:rsidRDefault="00917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7B25" w:rsidRPr="00917B25" w:rsidRDefault="00917B25" w:rsidP="00917B25">
      <w:pPr>
        <w:pStyle w:val="1"/>
        <w:rPr>
          <w:rFonts w:ascii="Times New Roman" w:eastAsia="Helvetica" w:hAnsi="Times New Roman" w:cs="Times New Roman"/>
          <w:color w:val="auto"/>
          <w:sz w:val="28"/>
          <w:szCs w:val="28"/>
        </w:rPr>
      </w:pPr>
      <w:bookmarkStart w:id="1" w:name="_Toc512004734"/>
      <w:r w:rsidRPr="00917B25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использованной литературы</w:t>
      </w:r>
      <w:bookmarkStart w:id="2" w:name="_GoBack"/>
      <w:bookmarkEnd w:id="1"/>
      <w:bookmarkEnd w:id="2"/>
    </w:p>
    <w:p w:rsidR="00917B25" w:rsidRPr="00917B25" w:rsidRDefault="00917B25" w:rsidP="00917B2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B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17B25" w:rsidRPr="00917B25" w:rsidRDefault="00917B25" w:rsidP="00917B2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17B25" w:rsidRPr="00917B25" w:rsidRDefault="00917B25" w:rsidP="00917B2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7B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 О пенсионной системе. Данные сайта АО «Единый Накопительный Пенсионный </w:t>
      </w:r>
      <w:proofErr w:type="gramStart"/>
      <w:r w:rsidRPr="00917B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Фонд»//www.enpf.kz/ru/</w:t>
      </w:r>
      <w:proofErr w:type="gramEnd"/>
    </w:p>
    <w:p w:rsidR="00917B25" w:rsidRPr="00917B25" w:rsidRDefault="00917B25" w:rsidP="00917B2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7B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 </w:t>
      </w:r>
      <w:proofErr w:type="spellStart"/>
      <w:r w:rsidRPr="00917B25">
        <w:rPr>
          <w:rFonts w:ascii="Times New Roman" w:hAnsi="Times New Roman" w:cs="Times New Roman"/>
          <w:sz w:val="28"/>
          <w:szCs w:val="28"/>
        </w:rPr>
        <w:t>Алшанов</w:t>
      </w:r>
      <w:proofErr w:type="spellEnd"/>
      <w:r w:rsidRPr="00917B25">
        <w:rPr>
          <w:rFonts w:ascii="Times New Roman" w:hAnsi="Times New Roman" w:cs="Times New Roman"/>
          <w:sz w:val="28"/>
          <w:szCs w:val="28"/>
        </w:rPr>
        <w:t xml:space="preserve"> Р. О модернизации пенсионной системы Казахстана /</w:t>
      </w:r>
      <w:proofErr w:type="gramStart"/>
      <w:r w:rsidRPr="00917B25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Pr="00917B25">
        <w:rPr>
          <w:rFonts w:ascii="Times New Roman" w:hAnsi="Times New Roman" w:cs="Times New Roman"/>
          <w:sz w:val="28"/>
          <w:szCs w:val="28"/>
        </w:rPr>
        <w:t>Казахстанская правда» 5 апреля 2013</w:t>
      </w:r>
    </w:p>
    <w:p w:rsidR="00917B25" w:rsidRPr="00917B25" w:rsidRDefault="00917B25" w:rsidP="00917B2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7B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Концепция дальнейшей модернизации пенсионной системы Республики Казахстан до 2030 года, утвержденная Указом Президента Республики Казахстан от 18.06.2014г. №842</w:t>
      </w:r>
    </w:p>
    <w:p w:rsidR="00917B25" w:rsidRPr="00917B25" w:rsidRDefault="00917B25" w:rsidP="00917B2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7B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Закон Республики Казахстан от 21 июня 2013 года № 105-V «О пенсионном обеспечении в Республике Казахстан» (с изменениями и дополнениями по состоянию на 01.01.2018 г.)</w:t>
      </w:r>
    </w:p>
    <w:p w:rsidR="00917B25" w:rsidRPr="00917B25" w:rsidRDefault="00917B25" w:rsidP="00917B2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17B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Устав АО «ЕНПФ»</w:t>
      </w:r>
    </w:p>
    <w:p w:rsidR="00917B25" w:rsidRPr="00917B25" w:rsidRDefault="00917B25" w:rsidP="00917B25">
      <w:pPr>
        <w:rPr>
          <w:rFonts w:ascii="Times New Roman" w:hAnsi="Times New Roman" w:cs="Times New Roman"/>
          <w:sz w:val="28"/>
          <w:szCs w:val="28"/>
        </w:rPr>
      </w:pPr>
    </w:p>
    <w:sectPr w:rsidR="00917B25" w:rsidRPr="0091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CC"/>
    <w:rsid w:val="006D5E9F"/>
    <w:rsid w:val="008942CC"/>
    <w:rsid w:val="0091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0B25"/>
  <w15:chartTrackingRefBased/>
  <w15:docId w15:val="{EDD50D81-79F7-4F46-83B3-F9FB0B2A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7B25"/>
    <w:rPr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17B25"/>
    <w:pPr>
      <w:spacing w:after="10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2">
    <w:name w:val="toc 2"/>
    <w:basedOn w:val="a"/>
    <w:next w:val="a"/>
    <w:autoRedefine/>
    <w:uiPriority w:val="39"/>
    <w:semiHidden/>
    <w:unhideWhenUsed/>
    <w:rsid w:val="00917B25"/>
    <w:pPr>
      <w:spacing w:after="100" w:line="240" w:lineRule="auto"/>
      <w:ind w:left="240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17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917B25"/>
    <w:pPr>
      <w:spacing w:before="0" w:line="256" w:lineRule="auto"/>
      <w:ind w:firstLine="709"/>
      <w:jc w:val="both"/>
      <w:outlineLvl w:val="9"/>
    </w:pPr>
    <w:rPr>
      <w:rFonts w:ascii="Times New Roman" w:hAnsi="Times New Roman"/>
      <w:caps/>
      <w:color w:val="auto"/>
      <w:sz w:val="28"/>
      <w:lang w:eastAsia="ru-RU"/>
    </w:rPr>
  </w:style>
  <w:style w:type="paragraph" w:customStyle="1" w:styleId="a5">
    <w:name w:val="По умолчанию"/>
    <w:rsid w:val="00917B2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8\2018\&#1050;&#1091;&#1088;&#1089;&#1086;&#1074;&#1099;&#1077;\&#1041;&#1044;\&#1050;&#1088;__&#1060;&#1091;&#1085;&#1082;&#1094;&#1080;&#1080;%20&#1080;%20&#1086;&#1087;&#1077;&#1088;&#1072;&#1094;&#1080;&#1080;%20&#1055;&#1077;&#1085;&#1089;&#1080;&#1086;&#1085;&#1085;&#1099;&#1093;%20&#1092;&#1086;&#1085;&#1076;&#1086;&#1074;.docx" TargetMode="External"/><Relationship Id="rId13" Type="http://schemas.openxmlformats.org/officeDocument/2006/relationships/hyperlink" Target="file:///D:\&#1057;&#1062;&#1048;&#1044;%202012-2018\2018\&#1050;&#1091;&#1088;&#1089;&#1086;&#1074;&#1099;&#1077;\&#1041;&#1044;\&#1050;&#1088;__&#1060;&#1091;&#1085;&#1082;&#1094;&#1080;&#1080;%20&#1080;%20&#1086;&#1087;&#1077;&#1088;&#1072;&#1094;&#1080;&#1080;%20&#1055;&#1077;&#1085;&#1089;&#1080;&#1086;&#1085;&#1085;&#1099;&#1093;%20&#1092;&#1086;&#1085;&#1076;&#1086;&#107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7;&#1062;&#1048;&#1044;%202012-2018\2018\&#1050;&#1091;&#1088;&#1089;&#1086;&#1074;&#1099;&#1077;\&#1041;&#1044;\&#1050;&#1088;__&#1060;&#1091;&#1085;&#1082;&#1094;&#1080;&#1080;%20&#1080;%20&#1086;&#1087;&#1077;&#1088;&#1072;&#1094;&#1080;&#1080;%20&#1055;&#1077;&#1085;&#1089;&#1080;&#1086;&#1085;&#1085;&#1099;&#1093;%20&#1092;&#1086;&#1085;&#1076;&#1086;&#1074;.docx" TargetMode="External"/><Relationship Id="rId12" Type="http://schemas.openxmlformats.org/officeDocument/2006/relationships/hyperlink" Target="file:///D:\&#1057;&#1062;&#1048;&#1044;%202012-2018\2018\&#1050;&#1091;&#1088;&#1089;&#1086;&#1074;&#1099;&#1077;\&#1041;&#1044;\&#1050;&#1088;__&#1060;&#1091;&#1085;&#1082;&#1094;&#1080;&#1080;%20&#1080;%20&#1086;&#1087;&#1077;&#1088;&#1072;&#1094;&#1080;&#1080;%20&#1055;&#1077;&#1085;&#1089;&#1080;&#1086;&#1085;&#1085;&#1099;&#1093;%20&#1092;&#1086;&#1085;&#1076;&#1086;&#1074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57;&#1062;&#1048;&#1044;%202012-2018\2018\&#1050;&#1091;&#1088;&#1089;&#1086;&#1074;&#1099;&#1077;\&#1041;&#1044;\&#1050;&#1088;__&#1060;&#1091;&#1085;&#1082;&#1094;&#1080;&#1080;%20&#1080;%20&#1086;&#1087;&#1077;&#1088;&#1072;&#1094;&#1080;&#1080;%20&#1055;&#1077;&#1085;&#1089;&#1080;&#1086;&#1085;&#1085;&#1099;&#1093;%20&#1092;&#1086;&#1085;&#1076;&#1086;&#1074;.docx" TargetMode="External"/><Relationship Id="rId11" Type="http://schemas.openxmlformats.org/officeDocument/2006/relationships/hyperlink" Target="file:///D:\&#1057;&#1062;&#1048;&#1044;%202012-2018\2018\&#1050;&#1091;&#1088;&#1089;&#1086;&#1074;&#1099;&#1077;\&#1041;&#1044;\&#1050;&#1088;__&#1060;&#1091;&#1085;&#1082;&#1094;&#1080;&#1080;%20&#1080;%20&#1086;&#1087;&#1077;&#1088;&#1072;&#1094;&#1080;&#1080;%20&#1055;&#1077;&#1085;&#1089;&#1080;&#1086;&#1085;&#1085;&#1099;&#1093;%20&#1092;&#1086;&#1085;&#1076;&#1086;&#1074;.docx" TargetMode="External"/><Relationship Id="rId5" Type="http://schemas.openxmlformats.org/officeDocument/2006/relationships/hyperlink" Target="file:///D:\&#1057;&#1062;&#1048;&#1044;%202012-2018\2018\&#1050;&#1091;&#1088;&#1089;&#1086;&#1074;&#1099;&#1077;\&#1041;&#1044;\&#1050;&#1088;__&#1060;&#1091;&#1085;&#1082;&#1094;&#1080;&#1080;%20&#1080;%20&#1086;&#1087;&#1077;&#1088;&#1072;&#1094;&#1080;&#1080;%20&#1055;&#1077;&#1085;&#1089;&#1080;&#1086;&#1085;&#1085;&#1099;&#1093;%20&#1092;&#1086;&#1085;&#1076;&#1086;&#1074;.docx" TargetMode="External"/><Relationship Id="rId15" Type="http://schemas.openxmlformats.org/officeDocument/2006/relationships/hyperlink" Target="file:///D:\&#1057;&#1062;&#1048;&#1044;%202012-2018\2018\&#1050;&#1091;&#1088;&#1089;&#1086;&#1074;&#1099;&#1077;\&#1041;&#1044;\&#1050;&#1088;__&#1060;&#1091;&#1085;&#1082;&#1094;&#1080;&#1080;%20&#1080;%20&#1086;&#1087;&#1077;&#1088;&#1072;&#1094;&#1080;&#1080;%20&#1055;&#1077;&#1085;&#1089;&#1080;&#1086;&#1085;&#1085;&#1099;&#1093;%20&#1092;&#1086;&#1085;&#1076;&#1086;&#1074;.docx" TargetMode="External"/><Relationship Id="rId10" Type="http://schemas.openxmlformats.org/officeDocument/2006/relationships/hyperlink" Target="file:///D:\&#1057;&#1062;&#1048;&#1044;%202012-2018\2018\&#1050;&#1091;&#1088;&#1089;&#1086;&#1074;&#1099;&#1077;\&#1041;&#1044;\&#1050;&#1088;__&#1060;&#1091;&#1085;&#1082;&#1094;&#1080;&#1080;%20&#1080;%20&#1086;&#1087;&#1077;&#1088;&#1072;&#1094;&#1080;&#1080;%20&#1055;&#1077;&#1085;&#1089;&#1080;&#1086;&#1085;&#1085;&#1099;&#1093;%20&#1092;&#1086;&#1085;&#1076;&#1086;&#1074;.docx" TargetMode="External"/><Relationship Id="rId4" Type="http://schemas.openxmlformats.org/officeDocument/2006/relationships/hyperlink" Target="file:///D:\&#1057;&#1062;&#1048;&#1044;%202012-2018\2018\&#1050;&#1091;&#1088;&#1089;&#1086;&#1074;&#1099;&#1077;\&#1041;&#1044;\&#1050;&#1088;__&#1060;&#1091;&#1085;&#1082;&#1094;&#1080;&#1080;%20&#1080;%20&#1086;&#1087;&#1077;&#1088;&#1072;&#1094;&#1080;&#1080;%20&#1055;&#1077;&#1085;&#1089;&#1080;&#1086;&#1085;&#1085;&#1099;&#1093;%20&#1092;&#1086;&#1085;&#1076;&#1086;&#1074;.docx" TargetMode="External"/><Relationship Id="rId9" Type="http://schemas.openxmlformats.org/officeDocument/2006/relationships/hyperlink" Target="file:///D:\&#1057;&#1062;&#1048;&#1044;%202012-2018\2018\&#1050;&#1091;&#1088;&#1089;&#1086;&#1074;&#1099;&#1077;\&#1041;&#1044;\&#1050;&#1088;__&#1060;&#1091;&#1085;&#1082;&#1094;&#1080;&#1080;%20&#1080;%20&#1086;&#1087;&#1077;&#1088;&#1072;&#1094;&#1080;&#1080;%20&#1055;&#1077;&#1085;&#1089;&#1080;&#1086;&#1085;&#1085;&#1099;&#1093;%20&#1092;&#1086;&#1085;&#1076;&#1086;&#1074;.docx" TargetMode="External"/><Relationship Id="rId14" Type="http://schemas.openxmlformats.org/officeDocument/2006/relationships/hyperlink" Target="file:///D:\&#1057;&#1062;&#1048;&#1044;%202012-2018\2018\&#1050;&#1091;&#1088;&#1089;&#1086;&#1074;&#1099;&#1077;\&#1041;&#1044;\&#1050;&#1088;__&#1060;&#1091;&#1085;&#1082;&#1094;&#1080;&#1080;%20&#1080;%20&#1086;&#1087;&#1077;&#1088;&#1072;&#1094;&#1080;&#1080;%20&#1055;&#1077;&#1085;&#1089;&#1080;&#1086;&#1085;&#1085;&#1099;&#1093;%20&#1092;&#1086;&#1085;&#1076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2019-01-09T10:31:00Z</dcterms:created>
  <dcterms:modified xsi:type="dcterms:W3CDTF">2019-01-09T10:34:00Z</dcterms:modified>
</cp:coreProperties>
</file>