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BA0" w:rsidRDefault="00FC303B" w:rsidP="00FC303B">
      <w:pPr>
        <w:jc w:val="center"/>
        <w:rPr>
          <w:rFonts w:ascii="Times New Roman" w:hAnsi="Times New Roman" w:cs="Times New Roman"/>
          <w:sz w:val="28"/>
          <w:szCs w:val="28"/>
        </w:rPr>
      </w:pPr>
      <w:r w:rsidRPr="00FC303B">
        <w:rPr>
          <w:rFonts w:ascii="Times New Roman" w:hAnsi="Times New Roman" w:cs="Times New Roman"/>
          <w:sz w:val="28"/>
          <w:szCs w:val="28"/>
        </w:rPr>
        <w:t xml:space="preserve">Курсовая работа </w:t>
      </w:r>
      <w:proofErr w:type="gramStart"/>
      <w:r w:rsidRPr="00FC303B">
        <w:rPr>
          <w:rFonts w:ascii="Times New Roman" w:hAnsi="Times New Roman" w:cs="Times New Roman"/>
          <w:sz w:val="28"/>
          <w:szCs w:val="28"/>
        </w:rPr>
        <w:t>_</w:t>
      </w:r>
      <w:r w:rsidRPr="00FC303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FC303B">
        <w:rPr>
          <w:rFonts w:ascii="Times New Roman" w:hAnsi="Times New Roman" w:cs="Times New Roman"/>
          <w:sz w:val="28"/>
          <w:szCs w:val="28"/>
        </w:rPr>
        <w:t>Кредитная политика коммерческого банка, ее значение и виды»</w:t>
      </w:r>
    </w:p>
    <w:p w:rsidR="00FC303B" w:rsidRDefault="00FC303B" w:rsidP="00FC30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Стр_26</w:t>
      </w:r>
    </w:p>
    <w:p w:rsidR="00FC303B" w:rsidRPr="00FC303B" w:rsidRDefault="00FC303B" w:rsidP="00FC303B">
      <w:pPr>
        <w:pStyle w:val="11"/>
        <w:tabs>
          <w:tab w:val="right" w:leader="dot" w:pos="962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93836992" w:history="1">
        <w:r w:rsidRPr="00FC303B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FC303B" w:rsidRPr="00FC303B" w:rsidRDefault="00FC303B" w:rsidP="00FC303B">
      <w:pPr>
        <w:pStyle w:val="11"/>
        <w:tabs>
          <w:tab w:val="right" w:leader="dot" w:pos="962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93836993" w:history="1">
        <w:r w:rsidRPr="00FC303B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Глава 1 Теоретические аспекты кредитной политики коммерческого банка</w:t>
        </w:r>
      </w:hyperlink>
    </w:p>
    <w:p w:rsidR="00FC303B" w:rsidRPr="00FC303B" w:rsidRDefault="00FC303B" w:rsidP="00FC303B">
      <w:pPr>
        <w:pStyle w:val="11"/>
        <w:tabs>
          <w:tab w:val="right" w:leader="dot" w:pos="962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93836994" w:history="1">
        <w:r w:rsidRPr="00FC303B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1.1 Понятие и сущность кредитной политики коммерческого банка</w:t>
        </w:r>
      </w:hyperlink>
    </w:p>
    <w:p w:rsidR="00FC303B" w:rsidRPr="00FC303B" w:rsidRDefault="00FC303B" w:rsidP="00FC303B">
      <w:pPr>
        <w:pStyle w:val="11"/>
        <w:tabs>
          <w:tab w:val="right" w:leader="dot" w:pos="962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93836995" w:history="1">
        <w:r w:rsidRPr="00FC303B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1.2 Значение и виды кредитной политики коммерческого банка</w:t>
        </w:r>
      </w:hyperlink>
    </w:p>
    <w:p w:rsidR="00FC303B" w:rsidRPr="00FC303B" w:rsidRDefault="00FC303B" w:rsidP="00FC303B">
      <w:pPr>
        <w:pStyle w:val="11"/>
        <w:tabs>
          <w:tab w:val="right" w:leader="dot" w:pos="962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93836996" w:history="1">
        <w:r w:rsidRPr="00FC303B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Глава 2 Анализ кредитной политики коммерческого банка на примере </w:t>
        </w:r>
      </w:hyperlink>
    </w:p>
    <w:p w:rsidR="00FC303B" w:rsidRPr="00FC303B" w:rsidRDefault="00FC303B" w:rsidP="00FC303B">
      <w:pPr>
        <w:pStyle w:val="11"/>
        <w:tabs>
          <w:tab w:val="right" w:leader="dot" w:pos="962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93836997" w:history="1">
        <w:r w:rsidRPr="00FC303B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 xml:space="preserve">2.1 Общая характеристика </w:t>
        </w:r>
      </w:hyperlink>
    </w:p>
    <w:p w:rsidR="00FC303B" w:rsidRPr="00FC303B" w:rsidRDefault="00FC303B" w:rsidP="00FC303B">
      <w:pPr>
        <w:pStyle w:val="11"/>
        <w:tabs>
          <w:tab w:val="right" w:leader="dot" w:pos="962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93836998" w:history="1">
        <w:r w:rsidRPr="00FC303B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2.2 Анализ кредитной политики банка</w:t>
        </w:r>
      </w:hyperlink>
    </w:p>
    <w:p w:rsidR="00FC303B" w:rsidRPr="00FC303B" w:rsidRDefault="00FC303B" w:rsidP="00FC303B">
      <w:pPr>
        <w:pStyle w:val="11"/>
        <w:tabs>
          <w:tab w:val="right" w:leader="dot" w:pos="962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93836999" w:history="1">
        <w:r w:rsidRPr="00FC303B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FC303B" w:rsidRPr="00FC303B" w:rsidRDefault="00FC303B" w:rsidP="00FC303B">
      <w:pPr>
        <w:pStyle w:val="11"/>
        <w:tabs>
          <w:tab w:val="right" w:leader="dot" w:pos="962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93837000" w:history="1">
        <w:r w:rsidRPr="00FC303B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СПИСОК ИСПОЛЬЗОВАННЫХ ИСТОЧНИКОВ</w:t>
        </w:r>
      </w:hyperlink>
    </w:p>
    <w:p w:rsidR="00FC303B" w:rsidRPr="00FC303B" w:rsidRDefault="00FC303B" w:rsidP="00FC303B">
      <w:pPr>
        <w:pStyle w:val="11"/>
        <w:tabs>
          <w:tab w:val="right" w:leader="dot" w:pos="9628"/>
        </w:tabs>
        <w:spacing w:line="36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_Toc193837001" w:history="1">
        <w:r w:rsidRPr="00FC303B">
          <w:rPr>
            <w:rStyle w:val="a3"/>
            <w:rFonts w:ascii="Times New Roman" w:hAnsi="Times New Roman"/>
            <w:noProof/>
            <w:color w:val="auto"/>
            <w:sz w:val="28"/>
            <w:szCs w:val="28"/>
            <w:u w:val="none"/>
          </w:rPr>
          <w:t>ПРИЛОЖЕНИЯ</w:t>
        </w:r>
      </w:hyperlink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Pr="00632400" w:rsidRDefault="00FC303B" w:rsidP="00FC303B">
      <w:pPr>
        <w:pStyle w:val="1"/>
        <w:spacing w:before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67977049"/>
      <w:r w:rsidRPr="00632400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  <w:bookmarkEnd w:id="0"/>
      <w:r w:rsidRPr="006324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C303B" w:rsidRDefault="00FC303B" w:rsidP="00FC303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C303B" w:rsidRDefault="00FC303B" w:rsidP="00FC303B">
      <w:pPr>
        <w:spacing w:line="360" w:lineRule="auto"/>
        <w:ind w:firstLine="851"/>
        <w:rPr>
          <w:rFonts w:ascii="Times New Roman" w:hAnsi="Times New Roman"/>
          <w:color w:val="000000"/>
          <w:sz w:val="28"/>
          <w:szCs w:val="28"/>
        </w:rPr>
      </w:pPr>
      <w:r w:rsidRPr="00E53E4E">
        <w:rPr>
          <w:rFonts w:ascii="Times New Roman" w:hAnsi="Times New Roman"/>
          <w:color w:val="000000"/>
          <w:sz w:val="28"/>
          <w:szCs w:val="28"/>
        </w:rPr>
        <w:t xml:space="preserve">Исходя из анализа теоретических подходов, в вопросе о сущности кредитной </w:t>
      </w:r>
      <w:proofErr w:type="gramStart"/>
      <w:r w:rsidRPr="00E53E4E">
        <w:rPr>
          <w:rFonts w:ascii="Times New Roman" w:hAnsi="Times New Roman"/>
          <w:color w:val="000000"/>
          <w:sz w:val="28"/>
          <w:szCs w:val="28"/>
        </w:rPr>
        <w:t xml:space="preserve">политики 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следует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согласиться с мнением</w:t>
      </w:r>
      <w:r w:rsidRPr="00E53E4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53E4E">
        <w:rPr>
          <w:rFonts w:ascii="Times New Roman" w:hAnsi="Times New Roman"/>
          <w:color w:val="000000"/>
          <w:sz w:val="28"/>
          <w:szCs w:val="28"/>
        </w:rPr>
        <w:t>О.И.Лариной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 том, что.</w:t>
      </w:r>
      <w:r w:rsidRPr="00E53E4E">
        <w:rPr>
          <w:rFonts w:ascii="Times New Roman" w:hAnsi="Times New Roman"/>
          <w:color w:val="000000"/>
          <w:sz w:val="28"/>
          <w:szCs w:val="28"/>
        </w:rPr>
        <w:t xml:space="preserve"> кредитная политика определяет задачи и приоритеты кредитной деятельности банка, средства и методы их реализации, а также принципы и порядок организации кредитного процесса. Кредитная политика создает основу организации кредитной работы банка в соответствии с общей стратегией его деятельности, будучи необходимым условием разработки документов, регламе</w:t>
      </w:r>
      <w:r>
        <w:rPr>
          <w:rFonts w:ascii="Times New Roman" w:hAnsi="Times New Roman"/>
          <w:color w:val="000000"/>
          <w:sz w:val="28"/>
          <w:szCs w:val="28"/>
        </w:rPr>
        <w:t>нтирующих процесс кредитования.</w:t>
      </w:r>
    </w:p>
    <w:p w:rsidR="00FC303B" w:rsidRPr="00E53E4E" w:rsidRDefault="00FC303B" w:rsidP="00FC303B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E53E4E">
        <w:rPr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</w:rPr>
        <w:t xml:space="preserve">формирование и реализацию </w:t>
      </w:r>
      <w:r w:rsidRPr="00E53E4E">
        <w:rPr>
          <w:rFonts w:ascii="Times New Roman" w:hAnsi="Times New Roman"/>
          <w:color w:val="000000"/>
          <w:sz w:val="28"/>
          <w:szCs w:val="28"/>
        </w:rPr>
        <w:t>кредитн</w:t>
      </w:r>
      <w:r>
        <w:rPr>
          <w:rFonts w:ascii="Times New Roman" w:hAnsi="Times New Roman"/>
          <w:color w:val="000000"/>
          <w:sz w:val="28"/>
          <w:szCs w:val="28"/>
        </w:rPr>
        <w:t>ой политики</w:t>
      </w:r>
      <w:r w:rsidRPr="00E53E4E">
        <w:rPr>
          <w:rFonts w:ascii="Times New Roman" w:hAnsi="Times New Roman"/>
          <w:color w:val="000000"/>
          <w:sz w:val="28"/>
          <w:szCs w:val="28"/>
        </w:rPr>
        <w:t xml:space="preserve"> оказывают влияние </w:t>
      </w:r>
      <w:r>
        <w:rPr>
          <w:rFonts w:ascii="Times New Roman" w:hAnsi="Times New Roman"/>
          <w:color w:val="000000"/>
          <w:sz w:val="28"/>
          <w:szCs w:val="28"/>
        </w:rPr>
        <w:t xml:space="preserve">целый ряд факторов, включая </w:t>
      </w:r>
      <w:r w:rsidRPr="00E53E4E">
        <w:rPr>
          <w:rFonts w:ascii="Times New Roman" w:hAnsi="Times New Roman"/>
          <w:color w:val="000000"/>
          <w:sz w:val="28"/>
          <w:szCs w:val="28"/>
        </w:rPr>
        <w:t>макроэкономические, региональные, отраслевые и внутрибанковские факторы.</w:t>
      </w: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p w:rsidR="00FC303B" w:rsidRDefault="00FC303B" w:rsidP="00FC303B">
      <w:pPr>
        <w:pStyle w:val="1"/>
        <w:spacing w:before="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67977050"/>
      <w:r w:rsidRPr="005E3F43">
        <w:rPr>
          <w:rFonts w:ascii="Times New Roman" w:hAnsi="Times New Roman" w:cs="Times New Roman"/>
          <w:color w:val="auto"/>
          <w:sz w:val="28"/>
          <w:szCs w:val="28"/>
        </w:rPr>
        <w:t>Список использованной литературы</w:t>
      </w:r>
      <w:bookmarkEnd w:id="1"/>
    </w:p>
    <w:p w:rsidR="00FC303B" w:rsidRPr="00FC303B" w:rsidRDefault="00FC303B" w:rsidP="00FC303B">
      <w:bookmarkStart w:id="2" w:name="_GoBack"/>
      <w:bookmarkEnd w:id="2"/>
    </w:p>
    <w:p w:rsidR="00FC303B" w:rsidRPr="00CD5B1F" w:rsidRDefault="00FC303B" w:rsidP="00FC303B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D5B1F">
        <w:rPr>
          <w:rFonts w:ascii="Times New Roman" w:hAnsi="Times New Roman"/>
          <w:sz w:val="28"/>
          <w:szCs w:val="28"/>
        </w:rPr>
        <w:t>Федеральный закон от 02.12.1990 N 395-1 (ред. от 28.12.2024) «О банках и банковской деятельности» (с изм. и доп., вступ. в силу с 01.03.2025)</w:t>
      </w:r>
    </w:p>
    <w:p w:rsidR="00FC303B" w:rsidRPr="00947DD3" w:rsidRDefault="00FC303B" w:rsidP="00FC303B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47DD3">
        <w:rPr>
          <w:rFonts w:ascii="Times New Roman" w:hAnsi="Times New Roman"/>
          <w:sz w:val="28"/>
          <w:szCs w:val="28"/>
        </w:rPr>
        <w:t>Федеральный закон от 10.07.2002 N 86-ФЗ (ред. от 28.12.2024) «О Центральном банке Российской Федерации (Банке России)»</w:t>
      </w:r>
    </w:p>
    <w:p w:rsidR="00FC303B" w:rsidRPr="00CD5B1F" w:rsidRDefault="00FC303B" w:rsidP="00FC303B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D5B1F">
        <w:rPr>
          <w:rFonts w:ascii="Times New Roman" w:hAnsi="Times New Roman"/>
          <w:sz w:val="28"/>
          <w:szCs w:val="28"/>
        </w:rPr>
        <w:t xml:space="preserve">Положение Банка России от 28.06.2017 N 590-П (ред. от 15.03.2023) </w:t>
      </w:r>
      <w:r>
        <w:rPr>
          <w:rFonts w:ascii="Times New Roman" w:hAnsi="Times New Roman"/>
          <w:sz w:val="28"/>
          <w:szCs w:val="28"/>
        </w:rPr>
        <w:t>«</w:t>
      </w:r>
      <w:r w:rsidRPr="00CD5B1F">
        <w:rPr>
          <w:rFonts w:ascii="Times New Roman" w:hAnsi="Times New Roman"/>
          <w:sz w:val="28"/>
          <w:szCs w:val="28"/>
        </w:rPr>
        <w:t>О порядке формирования кредитными организациями резервов на возможные потери по ссудам, ссудной и приравненной к ней задолженности</w:t>
      </w:r>
      <w:r>
        <w:rPr>
          <w:rFonts w:ascii="Times New Roman" w:hAnsi="Times New Roman"/>
          <w:sz w:val="28"/>
          <w:szCs w:val="28"/>
        </w:rPr>
        <w:t>»</w:t>
      </w:r>
      <w:r w:rsidRPr="00CD5B1F">
        <w:rPr>
          <w:rFonts w:ascii="Times New Roman" w:hAnsi="Times New Roman"/>
          <w:sz w:val="28"/>
          <w:szCs w:val="28"/>
        </w:rPr>
        <w:t xml:space="preserve"> (вместе с </w:t>
      </w:r>
      <w:r>
        <w:rPr>
          <w:rFonts w:ascii="Times New Roman" w:hAnsi="Times New Roman"/>
          <w:sz w:val="28"/>
          <w:szCs w:val="28"/>
        </w:rPr>
        <w:t>«</w:t>
      </w:r>
      <w:r w:rsidRPr="00CD5B1F">
        <w:rPr>
          <w:rFonts w:ascii="Times New Roman" w:hAnsi="Times New Roman"/>
          <w:sz w:val="28"/>
          <w:szCs w:val="28"/>
        </w:rPr>
        <w:t>Порядком оценки кредитного риска по портфелю (портфелям) однородных ссуд</w:t>
      </w:r>
      <w:r>
        <w:rPr>
          <w:rFonts w:ascii="Times New Roman" w:hAnsi="Times New Roman"/>
          <w:sz w:val="28"/>
          <w:szCs w:val="28"/>
        </w:rPr>
        <w:t>»</w:t>
      </w:r>
      <w:r w:rsidRPr="00CD5B1F">
        <w:rPr>
          <w:rFonts w:ascii="Times New Roman" w:hAnsi="Times New Roman"/>
          <w:sz w:val="28"/>
          <w:szCs w:val="28"/>
        </w:rPr>
        <w:t>) (Зарегистрировано в Минюсте России 12.07.2017 N 47384)</w:t>
      </w:r>
    </w:p>
    <w:p w:rsidR="00FC303B" w:rsidRPr="00CD5B1F" w:rsidRDefault="00FC303B" w:rsidP="00FC303B">
      <w:pPr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D5B1F">
        <w:rPr>
          <w:rFonts w:ascii="Times New Roman" w:hAnsi="Times New Roman"/>
          <w:sz w:val="28"/>
          <w:szCs w:val="28"/>
        </w:rPr>
        <w:t xml:space="preserve">Алексеева, Д. Г.  Банковское </w:t>
      </w:r>
      <w:proofErr w:type="gramStart"/>
      <w:r w:rsidRPr="00CD5B1F">
        <w:rPr>
          <w:rFonts w:ascii="Times New Roman" w:hAnsi="Times New Roman"/>
          <w:sz w:val="28"/>
          <w:szCs w:val="28"/>
        </w:rPr>
        <w:t>кредитование :</w:t>
      </w:r>
      <w:proofErr w:type="gramEnd"/>
      <w:r w:rsidRPr="00CD5B1F">
        <w:rPr>
          <w:rFonts w:ascii="Times New Roman" w:hAnsi="Times New Roman"/>
          <w:sz w:val="28"/>
          <w:szCs w:val="28"/>
        </w:rPr>
        <w:t xml:space="preserve"> учебник для вузов / Д. Г. Алексеева, С. В. </w:t>
      </w:r>
      <w:proofErr w:type="spellStart"/>
      <w:r w:rsidRPr="00CD5B1F">
        <w:rPr>
          <w:rFonts w:ascii="Times New Roman" w:hAnsi="Times New Roman"/>
          <w:sz w:val="28"/>
          <w:szCs w:val="28"/>
        </w:rPr>
        <w:t>Пыхтин</w:t>
      </w:r>
      <w:proofErr w:type="spellEnd"/>
      <w:r w:rsidRPr="00CD5B1F">
        <w:rPr>
          <w:rFonts w:ascii="Times New Roman" w:hAnsi="Times New Roman"/>
          <w:sz w:val="28"/>
          <w:szCs w:val="28"/>
        </w:rPr>
        <w:t xml:space="preserve">. — 2-е изд., </w:t>
      </w:r>
      <w:proofErr w:type="spellStart"/>
      <w:r w:rsidRPr="00CD5B1F">
        <w:rPr>
          <w:rFonts w:ascii="Times New Roman" w:hAnsi="Times New Roman"/>
          <w:sz w:val="28"/>
          <w:szCs w:val="28"/>
        </w:rPr>
        <w:t>перераб</w:t>
      </w:r>
      <w:proofErr w:type="spellEnd"/>
      <w:r w:rsidRPr="00CD5B1F">
        <w:rPr>
          <w:rFonts w:ascii="Times New Roman" w:hAnsi="Times New Roman"/>
          <w:sz w:val="28"/>
          <w:szCs w:val="28"/>
        </w:rPr>
        <w:t xml:space="preserve">. и доп. — </w:t>
      </w:r>
      <w:proofErr w:type="gramStart"/>
      <w:r w:rsidRPr="00CD5B1F">
        <w:rPr>
          <w:rFonts w:ascii="Times New Roman" w:hAnsi="Times New Roman"/>
          <w:sz w:val="28"/>
          <w:szCs w:val="28"/>
        </w:rPr>
        <w:t>Москва :</w:t>
      </w:r>
      <w:proofErr w:type="gramEnd"/>
      <w:r w:rsidRPr="00CD5B1F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CD5B1F">
        <w:rPr>
          <w:rFonts w:ascii="Times New Roman" w:hAnsi="Times New Roman"/>
          <w:sz w:val="28"/>
          <w:szCs w:val="28"/>
        </w:rPr>
        <w:t>Юрайт</w:t>
      </w:r>
      <w:proofErr w:type="spellEnd"/>
      <w:r w:rsidRPr="00CD5B1F">
        <w:rPr>
          <w:rFonts w:ascii="Times New Roman" w:hAnsi="Times New Roman"/>
          <w:sz w:val="28"/>
          <w:szCs w:val="28"/>
        </w:rPr>
        <w:t xml:space="preserve">, 2025. — 132 с. </w:t>
      </w:r>
    </w:p>
    <w:p w:rsidR="00FC303B" w:rsidRPr="00696AD6" w:rsidRDefault="00FC303B" w:rsidP="00FC303B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96AD6">
        <w:rPr>
          <w:rFonts w:ascii="Times New Roman" w:hAnsi="Times New Roman"/>
          <w:sz w:val="28"/>
          <w:szCs w:val="28"/>
        </w:rPr>
        <w:t xml:space="preserve">Банковское </w:t>
      </w:r>
      <w:proofErr w:type="gramStart"/>
      <w:r w:rsidRPr="00696AD6">
        <w:rPr>
          <w:rFonts w:ascii="Times New Roman" w:hAnsi="Times New Roman"/>
          <w:sz w:val="28"/>
          <w:szCs w:val="28"/>
        </w:rPr>
        <w:t>дело :</w:t>
      </w:r>
      <w:proofErr w:type="gramEnd"/>
      <w:r w:rsidRPr="00696AD6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под редакцией В. А. </w:t>
      </w:r>
      <w:proofErr w:type="spellStart"/>
      <w:r w:rsidRPr="00696AD6">
        <w:rPr>
          <w:rFonts w:ascii="Times New Roman" w:hAnsi="Times New Roman"/>
          <w:sz w:val="28"/>
          <w:szCs w:val="28"/>
        </w:rPr>
        <w:t>Боровковой</w:t>
      </w:r>
      <w:proofErr w:type="spellEnd"/>
      <w:r w:rsidRPr="00696AD6">
        <w:rPr>
          <w:rFonts w:ascii="Times New Roman" w:hAnsi="Times New Roman"/>
          <w:sz w:val="28"/>
          <w:szCs w:val="28"/>
        </w:rPr>
        <w:t xml:space="preserve">. — 7-е изд., </w:t>
      </w:r>
      <w:proofErr w:type="spellStart"/>
      <w:r w:rsidRPr="00696AD6">
        <w:rPr>
          <w:rFonts w:ascii="Times New Roman" w:hAnsi="Times New Roman"/>
          <w:sz w:val="28"/>
          <w:szCs w:val="28"/>
        </w:rPr>
        <w:t>перераб</w:t>
      </w:r>
      <w:proofErr w:type="spellEnd"/>
      <w:r w:rsidRPr="00696AD6">
        <w:rPr>
          <w:rFonts w:ascii="Times New Roman" w:hAnsi="Times New Roman"/>
          <w:sz w:val="28"/>
          <w:szCs w:val="28"/>
        </w:rPr>
        <w:t xml:space="preserve">. и доп. — </w:t>
      </w:r>
      <w:proofErr w:type="gramStart"/>
      <w:r w:rsidRPr="00696AD6">
        <w:rPr>
          <w:rFonts w:ascii="Times New Roman" w:hAnsi="Times New Roman"/>
          <w:sz w:val="28"/>
          <w:szCs w:val="28"/>
        </w:rPr>
        <w:t>Москва :</w:t>
      </w:r>
      <w:proofErr w:type="gramEnd"/>
      <w:r w:rsidRPr="00696AD6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696AD6">
        <w:rPr>
          <w:rFonts w:ascii="Times New Roman" w:hAnsi="Times New Roman"/>
          <w:sz w:val="28"/>
          <w:szCs w:val="28"/>
        </w:rPr>
        <w:t>Юрайт</w:t>
      </w:r>
      <w:proofErr w:type="spellEnd"/>
      <w:r w:rsidRPr="00696AD6">
        <w:rPr>
          <w:rFonts w:ascii="Times New Roman" w:hAnsi="Times New Roman"/>
          <w:sz w:val="28"/>
          <w:szCs w:val="28"/>
        </w:rPr>
        <w:t>, 2025. — 606 с.</w:t>
      </w:r>
    </w:p>
    <w:p w:rsidR="00FC303B" w:rsidRPr="00FC303B" w:rsidRDefault="00FC303B" w:rsidP="00FC303B">
      <w:pPr>
        <w:rPr>
          <w:rFonts w:ascii="Times New Roman" w:hAnsi="Times New Roman" w:cs="Times New Roman"/>
          <w:sz w:val="28"/>
          <w:szCs w:val="28"/>
        </w:rPr>
      </w:pPr>
    </w:p>
    <w:sectPr w:rsidR="00FC303B" w:rsidRPr="00FC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62792"/>
    <w:multiLevelType w:val="hybridMultilevel"/>
    <w:tmpl w:val="835A9FB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BB"/>
    <w:rsid w:val="00262BA0"/>
    <w:rsid w:val="008452BB"/>
    <w:rsid w:val="00FC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34C5"/>
  <w15:chartTrackingRefBased/>
  <w15:docId w15:val="{CC7EB3FA-5C29-404E-A35E-B6CC81A4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3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C303B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FC303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C303B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2025-10-29T05:59:00Z</dcterms:created>
  <dcterms:modified xsi:type="dcterms:W3CDTF">2025-10-29T06:02:00Z</dcterms:modified>
</cp:coreProperties>
</file>