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A4" w:rsidRPr="009752A4" w:rsidRDefault="009752A4" w:rsidP="009752A4">
      <w:pPr>
        <w:jc w:val="center"/>
        <w:rPr>
          <w:sz w:val="28"/>
          <w:szCs w:val="28"/>
        </w:rPr>
      </w:pPr>
      <w:r w:rsidRPr="009752A4">
        <w:rPr>
          <w:sz w:val="28"/>
          <w:szCs w:val="28"/>
        </w:rPr>
        <w:t>Кр_Международно-правовые отношения среднеазиатских стран в период становления советской государственности</w:t>
      </w:r>
    </w:p>
    <w:p w:rsidR="009752A4" w:rsidRPr="009752A4" w:rsidRDefault="009752A4" w:rsidP="009752A4">
      <w:pPr>
        <w:jc w:val="center"/>
        <w:rPr>
          <w:sz w:val="28"/>
          <w:szCs w:val="28"/>
        </w:rPr>
      </w:pPr>
      <w:r w:rsidRPr="009752A4">
        <w:rPr>
          <w:sz w:val="28"/>
          <w:szCs w:val="28"/>
        </w:rPr>
        <w:t>Стр_31</w:t>
      </w:r>
    </w:p>
    <w:p w:rsidR="009752A4" w:rsidRPr="009752A4" w:rsidRDefault="009752A4" w:rsidP="009752A4">
      <w:pPr>
        <w:pStyle w:val="1"/>
        <w:tabs>
          <w:tab w:val="right" w:leader="dot" w:pos="9345"/>
        </w:tabs>
        <w:rPr>
          <w:b w:val="0"/>
          <w:bCs w:val="0"/>
          <w:noProof/>
          <w:sz w:val="28"/>
          <w:szCs w:val="28"/>
        </w:rPr>
      </w:pPr>
      <w:hyperlink w:anchor="_Toc468665440" w:history="1">
        <w:r w:rsidRPr="009752A4">
          <w:rPr>
            <w:rStyle w:val="a3"/>
            <w:b w:val="0"/>
            <w:noProof/>
            <w:color w:val="auto"/>
            <w:sz w:val="28"/>
            <w:szCs w:val="28"/>
            <w:u w:val="none"/>
          </w:rPr>
          <w:t>1. Особенности международно-правового статуса среднеазиатских государств в период становления советской государственности</w:t>
        </w:r>
      </w:hyperlink>
    </w:p>
    <w:p w:rsidR="009752A4" w:rsidRPr="009752A4" w:rsidRDefault="009752A4" w:rsidP="009752A4">
      <w:pPr>
        <w:pStyle w:val="2"/>
        <w:tabs>
          <w:tab w:val="right" w:leader="dot" w:pos="9345"/>
        </w:tabs>
        <w:rPr>
          <w:i w:val="0"/>
          <w:iCs w:val="0"/>
          <w:noProof/>
          <w:sz w:val="28"/>
          <w:szCs w:val="28"/>
        </w:rPr>
      </w:pPr>
      <w:hyperlink w:anchor="_Toc468665441" w:history="1">
        <w:r w:rsidRPr="009752A4">
          <w:rPr>
            <w:rStyle w:val="a3"/>
            <w:i w:val="0"/>
            <w:noProof/>
            <w:color w:val="auto"/>
            <w:sz w:val="28"/>
            <w:szCs w:val="28"/>
            <w:u w:val="none"/>
          </w:rPr>
          <w:t>1.1 Установление советской власти на территории Туркестанского края</w:t>
        </w:r>
      </w:hyperlink>
    </w:p>
    <w:p w:rsidR="009752A4" w:rsidRPr="009752A4" w:rsidRDefault="009752A4" w:rsidP="009752A4">
      <w:pPr>
        <w:pStyle w:val="2"/>
        <w:tabs>
          <w:tab w:val="right" w:leader="dot" w:pos="9345"/>
        </w:tabs>
        <w:rPr>
          <w:i w:val="0"/>
          <w:iCs w:val="0"/>
          <w:noProof/>
          <w:sz w:val="28"/>
          <w:szCs w:val="28"/>
        </w:rPr>
      </w:pPr>
      <w:hyperlink w:anchor="_Toc468665442" w:history="1">
        <w:r w:rsidRPr="009752A4">
          <w:rPr>
            <w:rStyle w:val="a3"/>
            <w:i w:val="0"/>
            <w:noProof/>
            <w:color w:val="auto"/>
            <w:sz w:val="28"/>
            <w:szCs w:val="28"/>
            <w:u w:val="none"/>
          </w:rPr>
          <w:t>1.2 Положение Ирана в региональных отношениях</w:t>
        </w:r>
      </w:hyperlink>
    </w:p>
    <w:p w:rsidR="009752A4" w:rsidRPr="009752A4" w:rsidRDefault="009752A4" w:rsidP="009752A4">
      <w:pPr>
        <w:pStyle w:val="2"/>
        <w:tabs>
          <w:tab w:val="right" w:leader="dot" w:pos="9345"/>
        </w:tabs>
        <w:rPr>
          <w:i w:val="0"/>
          <w:iCs w:val="0"/>
          <w:noProof/>
          <w:sz w:val="28"/>
          <w:szCs w:val="28"/>
        </w:rPr>
      </w:pPr>
      <w:hyperlink w:anchor="_Toc468665443" w:history="1">
        <w:r w:rsidRPr="009752A4">
          <w:rPr>
            <w:rStyle w:val="a3"/>
            <w:i w:val="0"/>
            <w:noProof/>
            <w:color w:val="auto"/>
            <w:sz w:val="28"/>
            <w:szCs w:val="28"/>
            <w:u w:val="none"/>
          </w:rPr>
          <w:t>1.3 Международно-правовой статус Афганистана</w:t>
        </w:r>
      </w:hyperlink>
    </w:p>
    <w:p w:rsidR="009752A4" w:rsidRPr="009752A4" w:rsidRDefault="009752A4" w:rsidP="009752A4">
      <w:pPr>
        <w:pStyle w:val="2"/>
        <w:tabs>
          <w:tab w:val="right" w:leader="dot" w:pos="9345"/>
        </w:tabs>
        <w:rPr>
          <w:i w:val="0"/>
          <w:iCs w:val="0"/>
          <w:noProof/>
          <w:sz w:val="28"/>
          <w:szCs w:val="28"/>
        </w:rPr>
      </w:pPr>
      <w:hyperlink w:anchor="_Toc468665444" w:history="1">
        <w:r w:rsidRPr="009752A4">
          <w:rPr>
            <w:rStyle w:val="a3"/>
            <w:i w:val="0"/>
            <w:noProof/>
            <w:color w:val="auto"/>
            <w:sz w:val="28"/>
            <w:szCs w:val="28"/>
            <w:u w:val="none"/>
          </w:rPr>
          <w:t>1.4 Международно-правовой статус  Казахстана</w:t>
        </w:r>
      </w:hyperlink>
    </w:p>
    <w:p w:rsidR="009752A4" w:rsidRPr="009752A4" w:rsidRDefault="009752A4" w:rsidP="009752A4">
      <w:pPr>
        <w:pStyle w:val="1"/>
        <w:tabs>
          <w:tab w:val="right" w:leader="dot" w:pos="9345"/>
        </w:tabs>
        <w:rPr>
          <w:b w:val="0"/>
          <w:bCs w:val="0"/>
          <w:noProof/>
          <w:sz w:val="28"/>
          <w:szCs w:val="28"/>
        </w:rPr>
      </w:pPr>
      <w:hyperlink w:anchor="_Toc468665445" w:history="1">
        <w:r w:rsidRPr="009752A4">
          <w:rPr>
            <w:rStyle w:val="a3"/>
            <w:b w:val="0"/>
            <w:noProof/>
            <w:color w:val="auto"/>
            <w:sz w:val="28"/>
            <w:szCs w:val="28"/>
            <w:u w:val="none"/>
          </w:rPr>
          <w:t>2. Международные отношения государств средней Азии</w:t>
        </w:r>
      </w:hyperlink>
    </w:p>
    <w:p w:rsidR="009752A4" w:rsidRPr="009752A4" w:rsidRDefault="009752A4" w:rsidP="009752A4">
      <w:pPr>
        <w:pStyle w:val="2"/>
        <w:tabs>
          <w:tab w:val="right" w:leader="dot" w:pos="9345"/>
        </w:tabs>
        <w:rPr>
          <w:i w:val="0"/>
          <w:iCs w:val="0"/>
          <w:noProof/>
          <w:sz w:val="28"/>
          <w:szCs w:val="28"/>
        </w:rPr>
      </w:pPr>
      <w:hyperlink w:anchor="_Toc468665446" w:history="1">
        <w:r w:rsidRPr="009752A4">
          <w:rPr>
            <w:rStyle w:val="a3"/>
            <w:i w:val="0"/>
            <w:noProof/>
            <w:color w:val="auto"/>
            <w:sz w:val="28"/>
            <w:szCs w:val="28"/>
            <w:u w:val="none"/>
          </w:rPr>
          <w:t>2.1 Взаимоотношения среднеазиатских государств с Великобританией</w:t>
        </w:r>
        <w:r w:rsidRPr="009752A4">
          <w:rPr>
            <w:i w:val="0"/>
            <w:noProof/>
            <w:webHidden/>
            <w:sz w:val="28"/>
            <w:szCs w:val="28"/>
          </w:rPr>
          <w:tab/>
        </w:r>
      </w:hyperlink>
    </w:p>
    <w:p w:rsidR="009752A4" w:rsidRPr="009752A4" w:rsidRDefault="009752A4" w:rsidP="009752A4">
      <w:pPr>
        <w:pStyle w:val="2"/>
        <w:tabs>
          <w:tab w:val="right" w:leader="dot" w:pos="9345"/>
        </w:tabs>
        <w:rPr>
          <w:i w:val="0"/>
          <w:iCs w:val="0"/>
          <w:noProof/>
          <w:sz w:val="28"/>
          <w:szCs w:val="28"/>
        </w:rPr>
      </w:pPr>
      <w:hyperlink w:anchor="_Toc468665447" w:history="1">
        <w:r w:rsidRPr="009752A4">
          <w:rPr>
            <w:rStyle w:val="a3"/>
            <w:i w:val="0"/>
            <w:noProof/>
            <w:color w:val="auto"/>
            <w:sz w:val="28"/>
            <w:szCs w:val="28"/>
            <w:u w:val="none"/>
          </w:rPr>
          <w:t>2.2 Международные отношения Ирана в годы второй мировой войны</w:t>
        </w:r>
      </w:hyperlink>
    </w:p>
    <w:p w:rsidR="009752A4" w:rsidRPr="009752A4" w:rsidRDefault="009752A4" w:rsidP="009752A4">
      <w:pPr>
        <w:pStyle w:val="1"/>
        <w:tabs>
          <w:tab w:val="right" w:leader="dot" w:pos="9345"/>
        </w:tabs>
        <w:rPr>
          <w:b w:val="0"/>
          <w:bCs w:val="0"/>
          <w:noProof/>
          <w:sz w:val="28"/>
          <w:szCs w:val="28"/>
        </w:rPr>
      </w:pPr>
      <w:hyperlink w:anchor="_Toc468665448" w:history="1">
        <w:r w:rsidRPr="009752A4">
          <w:rPr>
            <w:rStyle w:val="a3"/>
            <w:b w:val="0"/>
            <w:noProof/>
            <w:color w:val="auto"/>
            <w:sz w:val="28"/>
            <w:szCs w:val="28"/>
            <w:u w:val="none"/>
          </w:rPr>
          <w:t>Заключение</w:t>
        </w:r>
      </w:hyperlink>
    </w:p>
    <w:p w:rsidR="009752A4" w:rsidRDefault="009752A4" w:rsidP="009752A4">
      <w:pPr>
        <w:pStyle w:val="1"/>
        <w:tabs>
          <w:tab w:val="right" w:leader="dot" w:pos="9345"/>
        </w:tabs>
        <w:rPr>
          <w:rStyle w:val="a3"/>
          <w:b w:val="0"/>
          <w:noProof/>
          <w:color w:val="auto"/>
          <w:sz w:val="28"/>
          <w:szCs w:val="28"/>
          <w:u w:val="none"/>
        </w:rPr>
      </w:pPr>
      <w:hyperlink w:anchor="_Toc468665449" w:history="1">
        <w:r w:rsidRPr="009752A4">
          <w:rPr>
            <w:rStyle w:val="a3"/>
            <w:b w:val="0"/>
            <w:noProof/>
            <w:color w:val="auto"/>
            <w:sz w:val="28"/>
            <w:szCs w:val="28"/>
            <w:u w:val="none"/>
          </w:rPr>
          <w:t>Список литературы</w:t>
        </w:r>
      </w:hyperlink>
    </w:p>
    <w:p w:rsidR="009752A4" w:rsidRDefault="009752A4">
      <w:pPr>
        <w:spacing w:after="160" w:line="259" w:lineRule="auto"/>
      </w:pPr>
      <w:r>
        <w:br w:type="page"/>
      </w:r>
    </w:p>
    <w:p w:rsidR="009752A4" w:rsidRPr="009752A4" w:rsidRDefault="009752A4" w:rsidP="009752A4"/>
    <w:p w:rsidR="009752A4" w:rsidRPr="009752A4" w:rsidRDefault="009752A4" w:rsidP="009752A4">
      <w:pPr>
        <w:keepNext/>
        <w:spacing w:before="240" w:after="60"/>
        <w:outlineLvl w:val="0"/>
        <w:rPr>
          <w:rFonts w:eastAsia="Times New Roman"/>
          <w:b/>
          <w:bCs/>
          <w:kern w:val="32"/>
          <w:sz w:val="28"/>
          <w:szCs w:val="28"/>
        </w:rPr>
      </w:pPr>
      <w:r w:rsidRPr="009752A4">
        <w:rPr>
          <w:rFonts w:eastAsia="Times New Roman"/>
          <w:b/>
          <w:bCs/>
          <w:kern w:val="32"/>
          <w:sz w:val="28"/>
          <w:szCs w:val="28"/>
        </w:rPr>
        <w:tab/>
      </w:r>
      <w:bookmarkStart w:id="0" w:name="_Toc468665448"/>
      <w:r w:rsidRPr="009752A4">
        <w:rPr>
          <w:rFonts w:eastAsia="Times New Roman"/>
          <w:b/>
          <w:bCs/>
          <w:kern w:val="32"/>
          <w:sz w:val="28"/>
          <w:szCs w:val="28"/>
        </w:rPr>
        <w:t>Заключение</w:t>
      </w:r>
      <w:bookmarkEnd w:id="0"/>
    </w:p>
    <w:p w:rsidR="009752A4" w:rsidRPr="009752A4" w:rsidRDefault="009752A4" w:rsidP="009752A4">
      <w:pPr>
        <w:jc w:val="both"/>
        <w:rPr>
          <w:sz w:val="28"/>
          <w:szCs w:val="28"/>
        </w:rPr>
      </w:pPr>
    </w:p>
    <w:p w:rsidR="009752A4" w:rsidRPr="009752A4" w:rsidRDefault="009752A4" w:rsidP="009752A4">
      <w:pPr>
        <w:jc w:val="both"/>
        <w:rPr>
          <w:sz w:val="28"/>
          <w:szCs w:val="28"/>
        </w:rPr>
      </w:pPr>
      <w:r w:rsidRPr="009752A4">
        <w:rPr>
          <w:sz w:val="28"/>
          <w:szCs w:val="28"/>
        </w:rPr>
        <w:tab/>
        <w:t>В период первой мировой войны страны Азии, в основном, были колониями. В период Первой мировой войны в этих странах произошли коренные изменения. В рядах Актанты сражалось и население колониальных стран. Передовые слои населения этих стран надеялись, что после войны их страны обретут независимость. Однако Парижская мирная конференция не оправдала их надежд. Напротив, конференция заменила старую форму колониального строя новой. Новой формой колониального строя явилась мандатная система Лиги Наций.</w:t>
      </w:r>
    </w:p>
    <w:p w:rsidR="009752A4" w:rsidRPr="009752A4" w:rsidRDefault="009752A4" w:rsidP="009752A4">
      <w:pPr>
        <w:jc w:val="both"/>
        <w:rPr>
          <w:sz w:val="28"/>
          <w:szCs w:val="28"/>
        </w:rPr>
      </w:pPr>
      <w:r w:rsidRPr="009752A4">
        <w:rPr>
          <w:sz w:val="28"/>
          <w:szCs w:val="28"/>
        </w:rPr>
        <w:tab/>
        <w:t>Несмотря на это, положение в странах Азии и Африки изменилось по сравнению с началом века. Эго было связано с появлением на политической карте мира Советской России (впоследствии СССР). Колониальные страны хоть и не хотели этого, но были вынуждены считаться с этим фактором.</w:t>
      </w:r>
    </w:p>
    <w:p w:rsidR="009752A4" w:rsidRPr="009752A4" w:rsidRDefault="009752A4" w:rsidP="009752A4">
      <w:pPr>
        <w:jc w:val="both"/>
        <w:rPr>
          <w:sz w:val="28"/>
          <w:szCs w:val="28"/>
        </w:rPr>
      </w:pPr>
      <w:r w:rsidRPr="009752A4">
        <w:rPr>
          <w:sz w:val="28"/>
          <w:szCs w:val="28"/>
        </w:rPr>
        <w:tab/>
        <w:t>С другой стороны, произошедшие в России глубокие социально- политические изменения оказали положительное влияние на национально-освободительное движение. В колониях обрели мощь национально-освободительные силы, стихийное национально-освободительное движение переросло в осознанное. Но, несмотря на это, колонизаторы сохранили свои позиции в колониальных странах.</w:t>
      </w:r>
    </w:p>
    <w:p w:rsidR="009752A4" w:rsidRDefault="009752A4"/>
    <w:p w:rsidR="009752A4" w:rsidRDefault="009752A4">
      <w:pPr>
        <w:spacing w:after="160" w:line="259" w:lineRule="auto"/>
      </w:pPr>
      <w:r>
        <w:br w:type="page"/>
      </w:r>
    </w:p>
    <w:p w:rsidR="009752A4" w:rsidRPr="009752A4" w:rsidRDefault="009752A4" w:rsidP="009752A4">
      <w:pPr>
        <w:keepNext/>
        <w:spacing w:before="240" w:after="60"/>
        <w:outlineLvl w:val="0"/>
        <w:rPr>
          <w:rFonts w:eastAsia="Times New Roman"/>
          <w:b/>
          <w:bCs/>
          <w:kern w:val="32"/>
          <w:sz w:val="28"/>
          <w:szCs w:val="32"/>
        </w:rPr>
      </w:pPr>
      <w:r w:rsidRPr="009752A4">
        <w:rPr>
          <w:rFonts w:eastAsia="Times New Roman"/>
          <w:b/>
          <w:bCs/>
          <w:kern w:val="32"/>
          <w:sz w:val="28"/>
          <w:szCs w:val="32"/>
        </w:rPr>
        <w:lastRenderedPageBreak/>
        <w:tab/>
      </w:r>
      <w:bookmarkStart w:id="1" w:name="_Toc468665449"/>
      <w:r w:rsidRPr="009752A4">
        <w:rPr>
          <w:rFonts w:eastAsia="Times New Roman"/>
          <w:b/>
          <w:bCs/>
          <w:kern w:val="32"/>
          <w:sz w:val="28"/>
          <w:szCs w:val="32"/>
        </w:rPr>
        <w:t>Список литературы</w:t>
      </w:r>
      <w:bookmarkEnd w:id="1"/>
    </w:p>
    <w:p w:rsidR="009752A4" w:rsidRPr="009752A4" w:rsidRDefault="009752A4" w:rsidP="009752A4"/>
    <w:p w:rsidR="009752A4" w:rsidRPr="009752A4" w:rsidRDefault="009752A4" w:rsidP="009752A4">
      <w:pPr>
        <w:numPr>
          <w:ilvl w:val="0"/>
          <w:numId w:val="1"/>
        </w:numPr>
        <w:jc w:val="both"/>
        <w:rPr>
          <w:sz w:val="28"/>
          <w:szCs w:val="28"/>
        </w:rPr>
      </w:pPr>
      <w:r w:rsidRPr="009752A4">
        <w:rPr>
          <w:sz w:val="28"/>
          <w:szCs w:val="28"/>
        </w:rPr>
        <w:t>Афганистан и сопредельные страны // Институт изучения Ближнего Востока и Израиля. М., 2013.</w:t>
      </w:r>
    </w:p>
    <w:p w:rsidR="009752A4" w:rsidRPr="009752A4" w:rsidRDefault="009752A4" w:rsidP="009752A4">
      <w:pPr>
        <w:numPr>
          <w:ilvl w:val="0"/>
          <w:numId w:val="1"/>
        </w:numPr>
        <w:jc w:val="both"/>
        <w:rPr>
          <w:sz w:val="28"/>
          <w:szCs w:val="28"/>
        </w:rPr>
      </w:pPr>
      <w:r w:rsidRPr="009752A4">
        <w:rPr>
          <w:sz w:val="28"/>
          <w:szCs w:val="28"/>
        </w:rPr>
        <w:t>Виноградов В.Н. Великобритания и Балканы: от Венского конгресса до Крымской войны. М.: 2015</w:t>
      </w:r>
    </w:p>
    <w:p w:rsidR="009752A4" w:rsidRPr="009752A4" w:rsidRDefault="009752A4" w:rsidP="009752A4">
      <w:pPr>
        <w:numPr>
          <w:ilvl w:val="0"/>
          <w:numId w:val="1"/>
        </w:numPr>
        <w:jc w:val="both"/>
        <w:rPr>
          <w:sz w:val="28"/>
          <w:szCs w:val="28"/>
        </w:rPr>
      </w:pPr>
      <w:r w:rsidRPr="009752A4">
        <w:rPr>
          <w:sz w:val="28"/>
          <w:szCs w:val="28"/>
        </w:rPr>
        <w:t>Ганиев Т.А. Анализ и прогнозирование военно-политической обстановки в зарубежных странах. Республика Афганистан. Часть 1. М.: ВУ, 2014.</w:t>
      </w:r>
    </w:p>
    <w:p w:rsidR="009752A4" w:rsidRPr="009752A4" w:rsidRDefault="009752A4" w:rsidP="009752A4">
      <w:pPr>
        <w:numPr>
          <w:ilvl w:val="0"/>
          <w:numId w:val="1"/>
        </w:numPr>
        <w:jc w:val="both"/>
        <w:rPr>
          <w:sz w:val="28"/>
          <w:szCs w:val="28"/>
        </w:rPr>
      </w:pPr>
      <w:r w:rsidRPr="009752A4">
        <w:rPr>
          <w:sz w:val="28"/>
          <w:szCs w:val="28"/>
        </w:rPr>
        <w:t>Ганиев Т.А. Анализ и прогнозирование военно-политической обстановки в зарубежных странах. Республика Афганистан. Часть 2. М.: ВУ, 2008.</w:t>
      </w:r>
    </w:p>
    <w:p w:rsidR="009752A4" w:rsidRPr="009752A4" w:rsidRDefault="009752A4" w:rsidP="009752A4">
      <w:pPr>
        <w:numPr>
          <w:ilvl w:val="0"/>
          <w:numId w:val="1"/>
        </w:numPr>
        <w:jc w:val="both"/>
        <w:rPr>
          <w:sz w:val="28"/>
          <w:szCs w:val="28"/>
        </w:rPr>
      </w:pPr>
      <w:r w:rsidRPr="009752A4">
        <w:rPr>
          <w:sz w:val="28"/>
          <w:szCs w:val="28"/>
        </w:rPr>
        <w:t>Ганиев Т.А., Бондарь Ю.М., Толмачев С.Г., Анализ и прогнозирование военно-политической обстановки в зарубежных странах. Исламская Республика Иран. М.: ВУ, 2011.</w:t>
      </w:r>
    </w:p>
    <w:p w:rsidR="009752A4" w:rsidRPr="009752A4" w:rsidRDefault="009752A4" w:rsidP="009752A4">
      <w:pPr>
        <w:numPr>
          <w:ilvl w:val="0"/>
          <w:numId w:val="1"/>
        </w:numPr>
        <w:jc w:val="both"/>
        <w:rPr>
          <w:sz w:val="28"/>
          <w:szCs w:val="28"/>
        </w:rPr>
      </w:pPr>
      <w:proofErr w:type="spellStart"/>
      <w:r w:rsidRPr="009752A4">
        <w:rPr>
          <w:sz w:val="28"/>
          <w:szCs w:val="28"/>
        </w:rPr>
        <w:t>Мортон</w:t>
      </w:r>
      <w:proofErr w:type="spellEnd"/>
      <w:r w:rsidRPr="009752A4">
        <w:rPr>
          <w:sz w:val="28"/>
          <w:szCs w:val="28"/>
        </w:rPr>
        <w:t xml:space="preserve"> А.Л. История Англии. М.: 2010.</w:t>
      </w:r>
    </w:p>
    <w:p w:rsidR="00C27A79" w:rsidRDefault="00C27A79">
      <w:bookmarkStart w:id="2" w:name="_GoBack"/>
      <w:bookmarkEnd w:id="2"/>
    </w:p>
    <w:sectPr w:rsidR="00C27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94D31"/>
    <w:multiLevelType w:val="hybridMultilevel"/>
    <w:tmpl w:val="86A272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6A"/>
    <w:rsid w:val="008C476A"/>
    <w:rsid w:val="009752A4"/>
    <w:rsid w:val="00C2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03C1"/>
  <w15:chartTrackingRefBased/>
  <w15:docId w15:val="{2A2D3F43-6AAC-47BC-9DB8-CCA90812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2A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9752A4"/>
    <w:pPr>
      <w:spacing w:before="240" w:after="120"/>
    </w:pPr>
    <w:rPr>
      <w:b/>
      <w:bCs/>
      <w:sz w:val="20"/>
      <w:szCs w:val="20"/>
    </w:rPr>
  </w:style>
  <w:style w:type="paragraph" w:styleId="2">
    <w:name w:val="toc 2"/>
    <w:basedOn w:val="a"/>
    <w:next w:val="a"/>
    <w:autoRedefine/>
    <w:semiHidden/>
    <w:rsid w:val="009752A4"/>
    <w:pPr>
      <w:spacing w:before="120"/>
      <w:ind w:left="240"/>
    </w:pPr>
    <w:rPr>
      <w:i/>
      <w:iCs/>
      <w:sz w:val="20"/>
      <w:szCs w:val="20"/>
    </w:rPr>
  </w:style>
  <w:style w:type="character" w:styleId="a3">
    <w:name w:val="Hyperlink"/>
    <w:rsid w:val="00975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421</Words>
  <Characters>2404</Characters>
  <Application>Microsoft Office Word</Application>
  <DocSecurity>0</DocSecurity>
  <Lines>20</Lines>
  <Paragraphs>5</Paragraphs>
  <ScaleCrop>false</ScaleCrop>
  <Company>SPecialiST RePack</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2019-01-14T11:17:00Z</dcterms:created>
  <dcterms:modified xsi:type="dcterms:W3CDTF">2019-01-14T11:19:00Z</dcterms:modified>
</cp:coreProperties>
</file>