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AA" w:rsidRDefault="00DE2FAA" w:rsidP="00DE2FAA">
      <w:pPr>
        <w:pStyle w:val="a3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</w:pPr>
      <w:r w:rsidRPr="008C0A48"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  <w:t>КР_Международные финансовые институты и их роль в инвестиционном процессе.</w:t>
      </w:r>
    </w:p>
    <w:p w:rsidR="00DE2FAA" w:rsidRPr="00DE2FAA" w:rsidRDefault="00DE2FAA" w:rsidP="00DE2FAA">
      <w:pPr>
        <w:jc w:val="center"/>
        <w:rPr>
          <w:rFonts w:ascii="Times New Roman" w:hAnsi="Times New Roman" w:cs="Times New Roman"/>
        </w:rPr>
      </w:pPr>
      <w:r w:rsidRPr="00DE2FAA">
        <w:rPr>
          <w:rFonts w:ascii="Times New Roman" w:hAnsi="Times New Roman" w:cs="Times New Roman"/>
        </w:rPr>
        <w:t>Стр-38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285761"/>
        <w:docPartObj>
          <w:docPartGallery w:val="Table of Contents"/>
          <w:docPartUnique/>
        </w:docPartObj>
      </w:sdtPr>
      <w:sdtContent>
        <w:p w:rsidR="00DE2FAA" w:rsidRDefault="00DE2FAA" w:rsidP="00DE2FAA">
          <w:pPr>
            <w:pStyle w:val="a3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</w:p>
        <w:p w:rsidR="00DE2FAA" w:rsidRPr="004A7DCC" w:rsidRDefault="00DE2FAA" w:rsidP="00DE2FA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</w:rPr>
          </w:pPr>
        </w:p>
        <w:p w:rsidR="00DE2FAA" w:rsidRPr="004A7DCC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4A7DCC">
            <w:rPr>
              <w:rFonts w:ascii="Times New Roman" w:hAnsi="Times New Roman" w:cs="Times New Roman"/>
              <w:sz w:val="28"/>
            </w:rPr>
            <w:fldChar w:fldCharType="begin"/>
          </w:r>
          <w:r w:rsidRPr="004A7DCC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4A7DCC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92730593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DE2FAA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DE2FAA" w:rsidRPr="004A7DCC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594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1 Теоретические аспекты деятельности международных финансовых институтов для привлечения иностранных инвестиций в экономику государства</w:t>
            </w:r>
          </w:hyperlink>
        </w:p>
        <w:p w:rsidR="00DE2FAA" w:rsidRPr="004A7DCC" w:rsidRDefault="00DE2FAA" w:rsidP="00DE2FAA">
          <w:pPr>
            <w:pStyle w:val="2"/>
            <w:tabs>
              <w:tab w:val="right" w:leader="dot" w:pos="9628"/>
            </w:tabs>
            <w:spacing w:after="0" w:line="276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595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1.1 Сущность и механизм обеспечения инвестиционного процесса государства</w:t>
            </w:r>
          </w:hyperlink>
        </w:p>
        <w:p w:rsidR="00DE2FAA" w:rsidRPr="004A7DCC" w:rsidRDefault="00DE2FAA" w:rsidP="00DE2FAA">
          <w:pPr>
            <w:pStyle w:val="2"/>
            <w:tabs>
              <w:tab w:val="right" w:leader="dot" w:pos="9628"/>
            </w:tabs>
            <w:spacing w:after="0" w:line="276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596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1.2 Международные банки развития в инвестиционном процессе</w:t>
            </w:r>
          </w:hyperlink>
        </w:p>
        <w:p w:rsidR="00DE2FAA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DE2FAA" w:rsidRPr="004A7DCC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597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2 Деятельность международных финансовых институтов в инвестиционном процессе Российской Федерации</w:t>
            </w:r>
          </w:hyperlink>
        </w:p>
        <w:p w:rsidR="00DE2FAA" w:rsidRPr="004A7DCC" w:rsidRDefault="00DE2FAA" w:rsidP="00DE2FAA">
          <w:pPr>
            <w:pStyle w:val="2"/>
            <w:tabs>
              <w:tab w:val="right" w:leader="dot" w:pos="9628"/>
            </w:tabs>
            <w:spacing w:after="0" w:line="276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598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2.1 Анализ эффективности привлечения и использования иностранных инвестиции для повышение конкурентоспособности национальной экономики</w:t>
            </w:r>
          </w:hyperlink>
        </w:p>
        <w:p w:rsidR="00DE2FAA" w:rsidRPr="004A7DCC" w:rsidRDefault="00DE2FAA" w:rsidP="00DE2FAA">
          <w:pPr>
            <w:pStyle w:val="2"/>
            <w:tabs>
              <w:tab w:val="right" w:leader="dot" w:pos="9628"/>
            </w:tabs>
            <w:spacing w:after="0" w:line="276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599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2.2 Анализ деятельности Евразийского банка развития и его сотрудничества с международными финансовыми институтами</w:t>
            </w:r>
          </w:hyperlink>
        </w:p>
        <w:p w:rsidR="00DE2FAA" w:rsidRPr="004A7DCC" w:rsidRDefault="00DE2FAA" w:rsidP="00DE2FAA">
          <w:pPr>
            <w:pStyle w:val="2"/>
            <w:tabs>
              <w:tab w:val="right" w:leader="dot" w:pos="9628"/>
            </w:tabs>
            <w:spacing w:after="0" w:line="276" w:lineRule="auto"/>
            <w:ind w:left="0"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600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2.3 Обзор стратегии партнерства Российской Федерации со Всемирным банком на 2018-2021 года в инвестиционном процессе</w:t>
            </w:r>
          </w:hyperlink>
        </w:p>
        <w:p w:rsidR="00DE2FAA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DE2FAA" w:rsidRPr="004A7DCC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601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3 Разработка механизма привлечения и использования иностранных инвестиций в экономику государства</w:t>
            </w:r>
          </w:hyperlink>
        </w:p>
        <w:p w:rsidR="00DE2FAA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DE2FAA" w:rsidRPr="004A7DCC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602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DE2FAA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DE2FAA" w:rsidRPr="004A7DCC" w:rsidRDefault="00DE2FAA" w:rsidP="00DE2FAA">
          <w:pPr>
            <w:pStyle w:val="11"/>
            <w:tabs>
              <w:tab w:val="right" w:leader="dot" w:pos="9628"/>
            </w:tabs>
            <w:spacing w:after="0" w:line="276" w:lineRule="auto"/>
            <w:ind w:firstLine="709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92730603" w:history="1">
            <w:r w:rsidRPr="004A7DCC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650D4A" w:rsidRDefault="00DE2FAA" w:rsidP="00DE2FAA">
          <w:r w:rsidRPr="004A7DCC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Pr="001043FB" w:rsidRDefault="00DE2FAA" w:rsidP="00DE2FA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92730602"/>
      <w:r w:rsidRPr="001043FB">
        <w:rPr>
          <w:rFonts w:ascii="Times New Roman" w:hAnsi="Times New Roman" w:cs="Times New Roman"/>
          <w:color w:val="auto"/>
        </w:rPr>
        <w:t>Заключение</w:t>
      </w:r>
      <w:bookmarkEnd w:id="0"/>
    </w:p>
    <w:p w:rsidR="00DE2FAA" w:rsidRDefault="00DE2FAA" w:rsidP="00DE2FAA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8"/>
        </w:rPr>
      </w:pPr>
    </w:p>
    <w:p w:rsidR="00DE2FAA" w:rsidRPr="004318A8" w:rsidRDefault="00DE2FAA" w:rsidP="00DE2FA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318A8">
        <w:rPr>
          <w:sz w:val="28"/>
        </w:rPr>
        <w:t xml:space="preserve">Механизм привлечения иностранных инвестиций </w:t>
      </w:r>
      <w:r>
        <w:rPr>
          <w:sz w:val="28"/>
        </w:rPr>
        <w:t xml:space="preserve">со стороны международных финансовых институтов </w:t>
      </w:r>
      <w:r w:rsidRPr="004318A8">
        <w:rPr>
          <w:sz w:val="28"/>
        </w:rPr>
        <w:t>предполагает развитие, в первую очередь, законодательной базы страны, привлекающей данные инвестиции, т.к. без конкретно закрепленного в законодательства отношений между государством и иностранным инвестором существуют слишком высокие риски для инвестирования и нельзя быть полностью уверенным не то чтобы в получении прибыли, но даже в полном их возврате. Поэтому государство формирует специальную государственную политику для привлечения иностранных инвестиций, которая должна осуществляться последовательно и не отходя от плана</w:t>
      </w:r>
      <w:r>
        <w:rPr>
          <w:sz w:val="28"/>
        </w:rPr>
        <w:t>;</w:t>
      </w:r>
    </w:p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Default="00DE2FAA" w:rsidP="00DE2FAA"/>
    <w:p w:rsidR="00DE2FAA" w:rsidRPr="00DE2FAA" w:rsidRDefault="00DE2FAA" w:rsidP="00DE2FA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14151354"/>
      <w:bookmarkStart w:id="2" w:name="_Toc514642723"/>
      <w:bookmarkStart w:id="3" w:name="_Toc92730603"/>
      <w:r w:rsidRPr="00DE2F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  <w:bookmarkEnd w:id="1"/>
      <w:bookmarkEnd w:id="2"/>
      <w:bookmarkEnd w:id="3"/>
    </w:p>
    <w:p w:rsidR="00DE2FAA" w:rsidRPr="00DE2FAA" w:rsidRDefault="00DE2FAA" w:rsidP="00DE2F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FAA" w:rsidRPr="00DE2FAA" w:rsidRDefault="00DE2FAA" w:rsidP="00DE2FA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1 Зубченко Л. А. Иностранные </w:t>
      </w:r>
      <w:proofErr w:type="gramStart"/>
      <w:r w:rsidRPr="00DE2FAA">
        <w:rPr>
          <w:rFonts w:ascii="Times New Roman" w:eastAsia="Calibri" w:hAnsi="Times New Roman" w:cs="Times New Roman"/>
          <w:sz w:val="28"/>
          <w:szCs w:val="28"/>
        </w:rPr>
        <w:t>инвестиции :</w:t>
      </w:r>
      <w:proofErr w:type="gram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 учеб. пособие / Л. А. Зубченко. – </w:t>
      </w:r>
      <w:proofErr w:type="gramStart"/>
      <w:r w:rsidRPr="00DE2FAA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Книгодел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>, 2012. - 160 с.</w:t>
      </w:r>
    </w:p>
    <w:p w:rsidR="00DE2FAA" w:rsidRPr="00DE2FAA" w:rsidRDefault="00DE2FAA" w:rsidP="00DE2FA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AA">
        <w:rPr>
          <w:rFonts w:ascii="Times New Roman" w:eastAsia="Calibri" w:hAnsi="Times New Roman" w:cs="Times New Roman"/>
          <w:sz w:val="28"/>
          <w:szCs w:val="28"/>
        </w:rPr>
        <w:t>2 Мерзляк А.В. Механизмы государственного управления иностранными инвестициями: региональный аспект: Монография. – М.: УАДУ, 2002. – 300 с.;</w:t>
      </w:r>
    </w:p>
    <w:p w:rsidR="00DE2FAA" w:rsidRPr="00DE2FAA" w:rsidRDefault="00DE2FAA" w:rsidP="00DE2FA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Вахрин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 П. И. Инвестиции: учебник/ П. И.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Вахрин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, А. С. </w:t>
      </w:r>
      <w:proofErr w:type="spellStart"/>
      <w:proofErr w:type="gramStart"/>
      <w:r w:rsidRPr="00DE2FAA">
        <w:rPr>
          <w:rFonts w:ascii="Times New Roman" w:eastAsia="Calibri" w:hAnsi="Times New Roman" w:cs="Times New Roman"/>
          <w:sz w:val="28"/>
          <w:szCs w:val="28"/>
        </w:rPr>
        <w:t>Нешитой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3-е изд.,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. и доп. –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М.:Дашков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 и Ко,2015. – 380с.;</w:t>
      </w:r>
    </w:p>
    <w:p w:rsidR="00DE2FAA" w:rsidRPr="00DE2FAA" w:rsidRDefault="00DE2FAA" w:rsidP="00DE2FA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Аскинадзи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 В.М., Максимова В.М. Инвестиционное дело. – М.: Университетская книга, 2012. - 360 с.;</w:t>
      </w:r>
    </w:p>
    <w:p w:rsidR="00DE2FAA" w:rsidRPr="00DE2FAA" w:rsidRDefault="00DE2FAA" w:rsidP="00DE2FA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5 Инвестирование. Управление инвестиционными процессами инновационной </w:t>
      </w:r>
      <w:proofErr w:type="gramStart"/>
      <w:r w:rsidRPr="00DE2FAA">
        <w:rPr>
          <w:rFonts w:ascii="Times New Roman" w:eastAsia="Calibri" w:hAnsi="Times New Roman" w:cs="Times New Roman"/>
          <w:sz w:val="28"/>
          <w:szCs w:val="28"/>
        </w:rPr>
        <w:t>экономики :</w:t>
      </w:r>
      <w:proofErr w:type="gram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 учеб.-метод. пособие для подготовки магистров по направлению «Экономика»/ авт. коллектив: Л. С.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Валинурова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, О. Б. Казакова, Э. И. </w:t>
      </w:r>
      <w:proofErr w:type="spellStart"/>
      <w:r w:rsidRPr="00DE2FAA">
        <w:rPr>
          <w:rFonts w:ascii="Times New Roman" w:eastAsia="Calibri" w:hAnsi="Times New Roman" w:cs="Times New Roman"/>
          <w:sz w:val="28"/>
          <w:szCs w:val="28"/>
        </w:rPr>
        <w:t>Исхакова</w:t>
      </w:r>
      <w:proofErr w:type="spell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DE2FAA">
        <w:rPr>
          <w:rFonts w:ascii="Times New Roman" w:eastAsia="Calibri" w:hAnsi="Times New Roman" w:cs="Times New Roman"/>
          <w:sz w:val="28"/>
          <w:szCs w:val="28"/>
        </w:rPr>
        <w:t>Уфа :</w:t>
      </w:r>
      <w:proofErr w:type="gramEnd"/>
      <w:r w:rsidRPr="00DE2FAA">
        <w:rPr>
          <w:rFonts w:ascii="Times New Roman" w:eastAsia="Calibri" w:hAnsi="Times New Roman" w:cs="Times New Roman"/>
          <w:sz w:val="28"/>
          <w:szCs w:val="28"/>
        </w:rPr>
        <w:t xml:space="preserve"> БАГСУ, 2012. – 77 с.;</w:t>
      </w:r>
    </w:p>
    <w:p w:rsidR="00DE2FAA" w:rsidRDefault="00DE2FAA" w:rsidP="00DE2FAA">
      <w:bookmarkStart w:id="4" w:name="_GoBack"/>
      <w:bookmarkEnd w:id="4"/>
    </w:p>
    <w:p w:rsidR="00DE2FAA" w:rsidRDefault="00DE2FAA" w:rsidP="00DE2FAA"/>
    <w:sectPr w:rsidR="00DE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00"/>
    <w:rsid w:val="00650D4A"/>
    <w:rsid w:val="00950900"/>
    <w:rsid w:val="00D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96C6"/>
  <w15:chartTrackingRefBased/>
  <w15:docId w15:val="{5E466620-6DFA-448B-BB06-788F412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AA"/>
  </w:style>
  <w:style w:type="paragraph" w:styleId="1">
    <w:name w:val="heading 1"/>
    <w:basedOn w:val="a"/>
    <w:next w:val="a"/>
    <w:link w:val="10"/>
    <w:uiPriority w:val="9"/>
    <w:qFormat/>
    <w:rsid w:val="00DE2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DE2FA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E2FA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E2FAA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DE2FAA"/>
    <w:rPr>
      <w:color w:val="0563C1" w:themeColor="hyperlink"/>
      <w:u w:val="single"/>
    </w:rPr>
  </w:style>
  <w:style w:type="paragraph" w:styleId="a5">
    <w:name w:val="Normal (Web)"/>
    <w:aliases w:val="Обычный (Web), Знак4,Знак4 Знак Знак,Знак4 Знак,Знак4,Обычный (Web)1,Обычный (веб) Знак1,Обычный (веб) Знак Знак1,Обычный (веб) Знак Знак Знак, Знак Знак1 Знак Знак,Обычный (веб) Знак Знак Знак Знак, Знак Знак Знак Знак Зн"/>
    <w:basedOn w:val="a"/>
    <w:uiPriority w:val="99"/>
    <w:unhideWhenUsed/>
    <w:rsid w:val="00DE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2022-11-16T09:01:00Z</dcterms:created>
  <dcterms:modified xsi:type="dcterms:W3CDTF">2022-11-16T09:03:00Z</dcterms:modified>
</cp:coreProperties>
</file>