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1E0" w:rsidRDefault="00B611E0" w:rsidP="00B611E0">
      <w:pPr>
        <w:pStyle w:val="1"/>
        <w:spacing w:line="360" w:lineRule="auto"/>
        <w:jc w:val="center"/>
        <w:rPr>
          <w:rFonts w:ascii="Times New Roman" w:hAnsi="Times New Roman" w:cs="Times New Roman"/>
          <w:b w:val="0"/>
          <w:color w:val="000000"/>
          <w:sz w:val="28"/>
          <w:szCs w:val="30"/>
          <w:shd w:val="clear" w:color="auto" w:fill="FFFFFF"/>
        </w:rPr>
      </w:pPr>
      <w:r w:rsidRPr="00B611E0">
        <w:rPr>
          <w:rFonts w:ascii="Times New Roman" w:hAnsi="Times New Roman" w:cs="Times New Roman"/>
          <w:b w:val="0"/>
          <w:color w:val="000000"/>
          <w:sz w:val="28"/>
          <w:szCs w:val="30"/>
          <w:shd w:val="clear" w:color="auto" w:fill="FFFFFF"/>
        </w:rPr>
        <w:t>Кр_Международный юридический статус Центральной Азии и Казахстана</w:t>
      </w:r>
    </w:p>
    <w:p w:rsidR="00B611E0" w:rsidRDefault="00B611E0" w:rsidP="00B611E0">
      <w:pPr>
        <w:jc w:val="center"/>
      </w:pPr>
      <w:r>
        <w:t>Стр_32</w:t>
      </w:r>
    </w:p>
    <w:p w:rsidR="00B611E0" w:rsidRDefault="00B611E0" w:rsidP="00B611E0"/>
    <w:p w:rsidR="00B611E0" w:rsidRDefault="00B611E0" w:rsidP="00B611E0"/>
    <w:p w:rsidR="00B611E0" w:rsidRPr="00B611E0" w:rsidRDefault="00B611E0" w:rsidP="00B611E0">
      <w:pPr>
        <w:rPr>
          <w:sz w:val="28"/>
        </w:rPr>
      </w:pPr>
      <w:hyperlink w:anchor="_Toc471834357" w:history="1">
        <w:r w:rsidRPr="00B611E0">
          <w:rPr>
            <w:rStyle w:val="a6"/>
            <w:bCs/>
            <w:color w:val="auto"/>
            <w:sz w:val="28"/>
            <w:u w:val="none"/>
          </w:rPr>
          <w:t>Введение</w:t>
        </w:r>
        <w:r w:rsidRPr="00B611E0">
          <w:rPr>
            <w:rStyle w:val="a6"/>
            <w:bCs/>
            <w:webHidden/>
            <w:color w:val="auto"/>
            <w:sz w:val="28"/>
            <w:u w:val="none"/>
          </w:rPr>
          <w:tab/>
        </w:r>
      </w:hyperlink>
    </w:p>
    <w:p w:rsidR="00B611E0" w:rsidRPr="00B611E0" w:rsidRDefault="00B611E0" w:rsidP="00B611E0">
      <w:pPr>
        <w:rPr>
          <w:sz w:val="28"/>
        </w:rPr>
      </w:pPr>
      <w:hyperlink w:anchor="_Toc471834358" w:history="1">
        <w:r w:rsidRPr="00B611E0">
          <w:rPr>
            <w:rStyle w:val="a6"/>
            <w:bCs/>
            <w:color w:val="auto"/>
            <w:sz w:val="28"/>
            <w:u w:val="none"/>
          </w:rPr>
          <w:t>1. История и особенности становления международного юридического статуса среднеазиатских государств</w:t>
        </w:r>
        <w:r w:rsidRPr="00B611E0">
          <w:rPr>
            <w:rStyle w:val="a6"/>
            <w:bCs/>
            <w:webHidden/>
            <w:color w:val="auto"/>
            <w:sz w:val="28"/>
            <w:u w:val="none"/>
          </w:rPr>
          <w:tab/>
        </w:r>
      </w:hyperlink>
    </w:p>
    <w:p w:rsidR="00B611E0" w:rsidRPr="00B611E0" w:rsidRDefault="00B611E0" w:rsidP="00B611E0">
      <w:pPr>
        <w:rPr>
          <w:sz w:val="28"/>
        </w:rPr>
      </w:pPr>
      <w:hyperlink w:anchor="_Toc471834359" w:history="1">
        <w:r w:rsidRPr="00B611E0">
          <w:rPr>
            <w:rStyle w:val="a6"/>
            <w:iCs/>
            <w:color w:val="auto"/>
            <w:sz w:val="28"/>
            <w:u w:val="none"/>
          </w:rPr>
          <w:t>1.1 Международный юридический статус Средней Азии в период становления советской власти</w:t>
        </w:r>
        <w:r w:rsidRPr="00B611E0">
          <w:rPr>
            <w:rStyle w:val="a6"/>
            <w:iCs/>
            <w:webHidden/>
            <w:color w:val="auto"/>
            <w:sz w:val="28"/>
            <w:u w:val="none"/>
          </w:rPr>
          <w:tab/>
        </w:r>
      </w:hyperlink>
    </w:p>
    <w:p w:rsidR="00B611E0" w:rsidRPr="00B611E0" w:rsidRDefault="00B611E0" w:rsidP="00B611E0">
      <w:pPr>
        <w:rPr>
          <w:sz w:val="28"/>
        </w:rPr>
      </w:pPr>
      <w:hyperlink w:anchor="_Toc471834360" w:history="1">
        <w:r w:rsidRPr="00B611E0">
          <w:rPr>
            <w:rStyle w:val="a6"/>
            <w:iCs/>
            <w:color w:val="auto"/>
            <w:sz w:val="28"/>
            <w:u w:val="none"/>
          </w:rPr>
          <w:t>1.2 Международный юридический статус Средней Азии в постсоветский период</w:t>
        </w:r>
        <w:r w:rsidRPr="00B611E0">
          <w:rPr>
            <w:rStyle w:val="a6"/>
            <w:iCs/>
            <w:webHidden/>
            <w:color w:val="auto"/>
            <w:sz w:val="28"/>
            <w:u w:val="none"/>
          </w:rPr>
          <w:tab/>
        </w:r>
      </w:hyperlink>
    </w:p>
    <w:p w:rsidR="00B611E0" w:rsidRPr="00B611E0" w:rsidRDefault="00B611E0" w:rsidP="00B611E0">
      <w:pPr>
        <w:rPr>
          <w:sz w:val="28"/>
        </w:rPr>
      </w:pPr>
      <w:hyperlink w:anchor="_Toc471834361" w:history="1">
        <w:r w:rsidRPr="00B611E0">
          <w:rPr>
            <w:rStyle w:val="a6"/>
            <w:bCs/>
            <w:color w:val="auto"/>
            <w:sz w:val="28"/>
            <w:u w:val="none"/>
          </w:rPr>
          <w:t>2. Республика Казахстан – субъект международного права</w:t>
        </w:r>
        <w:r w:rsidRPr="00B611E0">
          <w:rPr>
            <w:rStyle w:val="a6"/>
            <w:bCs/>
            <w:webHidden/>
            <w:color w:val="auto"/>
            <w:sz w:val="28"/>
            <w:u w:val="none"/>
          </w:rPr>
          <w:tab/>
        </w:r>
        <w:r w:rsidRPr="00B611E0">
          <w:rPr>
            <w:rStyle w:val="a6"/>
            <w:bCs/>
            <w:webHidden/>
            <w:color w:val="auto"/>
            <w:sz w:val="28"/>
            <w:u w:val="none"/>
          </w:rPr>
          <w:fldChar w:fldCharType="begin"/>
        </w:r>
        <w:r w:rsidRPr="00B611E0">
          <w:rPr>
            <w:rStyle w:val="a6"/>
            <w:bCs/>
            <w:webHidden/>
            <w:color w:val="auto"/>
            <w:sz w:val="28"/>
            <w:u w:val="none"/>
          </w:rPr>
          <w:instrText xml:space="preserve"> PAGEREF _Toc471834361 \h </w:instrText>
        </w:r>
        <w:r w:rsidRPr="00B611E0">
          <w:rPr>
            <w:rStyle w:val="a6"/>
            <w:bCs/>
            <w:color w:val="auto"/>
            <w:sz w:val="28"/>
            <w:u w:val="none"/>
          </w:rPr>
        </w:r>
        <w:r w:rsidRPr="00B611E0">
          <w:rPr>
            <w:rStyle w:val="a6"/>
            <w:bCs/>
            <w:webHidden/>
            <w:color w:val="auto"/>
            <w:sz w:val="28"/>
            <w:u w:val="none"/>
          </w:rPr>
          <w:fldChar w:fldCharType="separate"/>
        </w:r>
        <w:r w:rsidRPr="00B611E0">
          <w:rPr>
            <w:rStyle w:val="a6"/>
            <w:webHidden/>
            <w:color w:val="auto"/>
            <w:sz w:val="28"/>
            <w:u w:val="none"/>
          </w:rPr>
          <w:fldChar w:fldCharType="end"/>
        </w:r>
      </w:hyperlink>
    </w:p>
    <w:p w:rsidR="00B611E0" w:rsidRPr="00B611E0" w:rsidRDefault="00B611E0" w:rsidP="00B611E0">
      <w:pPr>
        <w:rPr>
          <w:sz w:val="28"/>
        </w:rPr>
      </w:pPr>
      <w:hyperlink w:anchor="_Toc471834362" w:history="1">
        <w:r w:rsidRPr="00B611E0">
          <w:rPr>
            <w:rStyle w:val="a6"/>
            <w:iCs/>
            <w:color w:val="auto"/>
            <w:sz w:val="28"/>
            <w:u w:val="none"/>
          </w:rPr>
          <w:t>2.1 Становление Республики Казахстан как субъекта международного права</w:t>
        </w:r>
        <w:r w:rsidRPr="00B611E0">
          <w:rPr>
            <w:rStyle w:val="a6"/>
            <w:iCs/>
            <w:webHidden/>
            <w:color w:val="auto"/>
            <w:sz w:val="28"/>
            <w:u w:val="none"/>
          </w:rPr>
          <w:tab/>
        </w:r>
      </w:hyperlink>
    </w:p>
    <w:p w:rsidR="00B611E0" w:rsidRPr="00B611E0" w:rsidRDefault="00B611E0" w:rsidP="00B611E0">
      <w:pPr>
        <w:rPr>
          <w:sz w:val="28"/>
        </w:rPr>
      </w:pPr>
      <w:hyperlink w:anchor="_Toc471834363" w:history="1">
        <w:r w:rsidRPr="00B611E0">
          <w:rPr>
            <w:rStyle w:val="a6"/>
            <w:iCs/>
            <w:color w:val="auto"/>
            <w:sz w:val="28"/>
            <w:u w:val="none"/>
          </w:rPr>
          <w:t>2.2 Самостоятельная договорная практика Республики Казахстан</w:t>
        </w:r>
        <w:r w:rsidRPr="00B611E0">
          <w:rPr>
            <w:rStyle w:val="a6"/>
            <w:iCs/>
            <w:webHidden/>
            <w:color w:val="auto"/>
            <w:sz w:val="28"/>
            <w:u w:val="none"/>
          </w:rPr>
          <w:tab/>
        </w:r>
      </w:hyperlink>
    </w:p>
    <w:p w:rsidR="00B611E0" w:rsidRPr="00B611E0" w:rsidRDefault="00B611E0" w:rsidP="00B611E0">
      <w:pPr>
        <w:rPr>
          <w:sz w:val="28"/>
        </w:rPr>
      </w:pPr>
      <w:hyperlink w:anchor="_Toc471834364" w:history="1">
        <w:r w:rsidRPr="00B611E0">
          <w:rPr>
            <w:rStyle w:val="a6"/>
            <w:iCs/>
            <w:color w:val="auto"/>
            <w:sz w:val="28"/>
            <w:u w:val="none"/>
          </w:rPr>
          <w:t>2.3 Дипломатические и консульские отношения Республики Казахстан</w:t>
        </w:r>
        <w:r w:rsidRPr="00B611E0">
          <w:rPr>
            <w:rStyle w:val="a6"/>
            <w:iCs/>
            <w:webHidden/>
            <w:color w:val="auto"/>
            <w:sz w:val="28"/>
            <w:u w:val="none"/>
          </w:rPr>
          <w:tab/>
        </w:r>
      </w:hyperlink>
    </w:p>
    <w:p w:rsidR="00B611E0" w:rsidRPr="00B611E0" w:rsidRDefault="00B611E0" w:rsidP="00B611E0">
      <w:pPr>
        <w:rPr>
          <w:sz w:val="28"/>
        </w:rPr>
      </w:pPr>
      <w:hyperlink w:anchor="_Toc471834365" w:history="1">
        <w:r w:rsidRPr="00B611E0">
          <w:rPr>
            <w:rStyle w:val="a6"/>
            <w:iCs/>
            <w:color w:val="auto"/>
            <w:sz w:val="28"/>
            <w:u w:val="none"/>
          </w:rPr>
          <w:t>2.4 Участие Республики Казахстан в деятельности международных  организаций</w:t>
        </w:r>
        <w:r w:rsidRPr="00B611E0">
          <w:rPr>
            <w:rStyle w:val="a6"/>
            <w:iCs/>
            <w:webHidden/>
            <w:color w:val="auto"/>
            <w:sz w:val="28"/>
            <w:u w:val="none"/>
          </w:rPr>
          <w:tab/>
        </w:r>
      </w:hyperlink>
    </w:p>
    <w:p w:rsidR="00B611E0" w:rsidRPr="00B611E0" w:rsidRDefault="00B611E0" w:rsidP="00B611E0">
      <w:pPr>
        <w:rPr>
          <w:sz w:val="28"/>
        </w:rPr>
      </w:pPr>
      <w:hyperlink w:anchor="_Toc471834366" w:history="1">
        <w:r w:rsidRPr="00B611E0">
          <w:rPr>
            <w:rStyle w:val="a6"/>
            <w:bCs/>
            <w:color w:val="auto"/>
            <w:sz w:val="28"/>
            <w:u w:val="none"/>
          </w:rPr>
          <w:t>Заключение</w:t>
        </w:r>
        <w:r w:rsidRPr="00B611E0">
          <w:rPr>
            <w:rStyle w:val="a6"/>
            <w:bCs/>
            <w:webHidden/>
            <w:color w:val="auto"/>
            <w:sz w:val="28"/>
            <w:u w:val="none"/>
          </w:rPr>
          <w:tab/>
        </w:r>
      </w:hyperlink>
    </w:p>
    <w:p w:rsidR="00B611E0" w:rsidRDefault="00B611E0" w:rsidP="00B611E0">
      <w:pPr>
        <w:rPr>
          <w:sz w:val="28"/>
        </w:rPr>
      </w:pPr>
      <w:hyperlink w:anchor="_Toc471834367" w:history="1">
        <w:r w:rsidRPr="00B611E0">
          <w:rPr>
            <w:rStyle w:val="a6"/>
            <w:bCs/>
            <w:color w:val="auto"/>
            <w:sz w:val="28"/>
            <w:u w:val="none"/>
          </w:rPr>
          <w:t>Список литературы</w:t>
        </w:r>
        <w:r w:rsidRPr="00B611E0">
          <w:rPr>
            <w:rStyle w:val="a6"/>
            <w:bCs/>
            <w:webHidden/>
            <w:color w:val="auto"/>
            <w:sz w:val="28"/>
            <w:u w:val="none"/>
          </w:rPr>
          <w:tab/>
        </w:r>
      </w:hyperlink>
    </w:p>
    <w:p w:rsidR="00B611E0" w:rsidRDefault="00B611E0">
      <w:pPr>
        <w:spacing w:after="160" w:line="259" w:lineRule="auto"/>
        <w:rPr>
          <w:sz w:val="28"/>
        </w:rPr>
      </w:pPr>
      <w:r>
        <w:rPr>
          <w:sz w:val="28"/>
        </w:rPr>
        <w:br w:type="page"/>
      </w:r>
    </w:p>
    <w:p w:rsidR="00B611E0" w:rsidRPr="00B611E0" w:rsidRDefault="00B611E0" w:rsidP="00B611E0">
      <w:pPr>
        <w:rPr>
          <w:sz w:val="28"/>
        </w:rPr>
      </w:pPr>
    </w:p>
    <w:p w:rsidR="00B611E0" w:rsidRPr="002A6F3A" w:rsidRDefault="00B611E0" w:rsidP="00B611E0">
      <w:pPr>
        <w:pStyle w:val="1"/>
        <w:spacing w:line="360" w:lineRule="auto"/>
        <w:jc w:val="center"/>
        <w:rPr>
          <w:rFonts w:ascii="Times New Roman" w:hAnsi="Times New Roman"/>
          <w:sz w:val="28"/>
        </w:rPr>
      </w:pPr>
      <w:bookmarkStart w:id="0" w:name="_Toc471834366"/>
      <w:r w:rsidRPr="002A6F3A">
        <w:rPr>
          <w:rFonts w:ascii="Times New Roman" w:hAnsi="Times New Roman"/>
          <w:sz w:val="28"/>
        </w:rPr>
        <w:t>Заключение</w:t>
      </w:r>
      <w:bookmarkEnd w:id="0"/>
    </w:p>
    <w:p w:rsidR="00B611E0" w:rsidRDefault="00B611E0" w:rsidP="00B611E0">
      <w:pPr>
        <w:spacing w:line="360" w:lineRule="auto"/>
        <w:jc w:val="both"/>
        <w:rPr>
          <w:sz w:val="28"/>
          <w:szCs w:val="28"/>
        </w:rPr>
      </w:pPr>
      <w:r>
        <w:rPr>
          <w:sz w:val="28"/>
          <w:szCs w:val="28"/>
        </w:rPr>
        <w:tab/>
        <w:t>В период первой мировой войны страны Азии, в основном, были колониями. В период Первой мировой войны в этих странах произошли коренные изменения. В рядах Актанты сражалось и население колониальных стран. Передовые слои населения этих стран надеялись, что после войны их страны обретут независимость. Однако Парижская мирная конференция не оправдала их надежд. Напротив, конференция заменила старую форму колониального строя новой. Новой формой колониального строя явилась мандатная система Лиги Наций.</w:t>
      </w:r>
    </w:p>
    <w:p w:rsidR="00B611E0" w:rsidRDefault="00B611E0" w:rsidP="00B611E0">
      <w:pPr>
        <w:spacing w:line="360" w:lineRule="auto"/>
        <w:jc w:val="both"/>
        <w:rPr>
          <w:sz w:val="28"/>
          <w:szCs w:val="28"/>
        </w:rPr>
      </w:pPr>
      <w:r>
        <w:rPr>
          <w:sz w:val="28"/>
          <w:szCs w:val="28"/>
        </w:rPr>
        <w:tab/>
        <w:t>Несмотря на это, положение в странах Азии и Африки изменилось по сравнению с началом века. Эго было связано с появлением на политической карте мира Советской России (впоследствии СССР). Колониальные страны хоть и не хотели этого, но были вынуждены считаться с этим фактором.</w:t>
      </w:r>
    </w:p>
    <w:p w:rsidR="00B611E0" w:rsidRDefault="00B611E0">
      <w:pPr>
        <w:spacing w:after="160" w:line="259" w:lineRule="auto"/>
      </w:pPr>
      <w:r>
        <w:br w:type="page"/>
      </w:r>
    </w:p>
    <w:p w:rsidR="00B611E0" w:rsidRPr="00B611E0" w:rsidRDefault="00B611E0" w:rsidP="00B611E0">
      <w:pPr>
        <w:keepNext/>
        <w:spacing w:before="240" w:after="60" w:line="360" w:lineRule="auto"/>
        <w:jc w:val="center"/>
        <w:outlineLvl w:val="0"/>
        <w:rPr>
          <w:rFonts w:cs="Arial"/>
          <w:b/>
          <w:bCs/>
          <w:kern w:val="32"/>
          <w:sz w:val="28"/>
          <w:szCs w:val="28"/>
        </w:rPr>
      </w:pPr>
      <w:bookmarkStart w:id="1" w:name="_Toc471834367"/>
      <w:r w:rsidRPr="00B611E0">
        <w:rPr>
          <w:rFonts w:cs="Arial"/>
          <w:b/>
          <w:bCs/>
          <w:kern w:val="32"/>
          <w:sz w:val="28"/>
          <w:szCs w:val="28"/>
        </w:rPr>
        <w:lastRenderedPageBreak/>
        <w:t>Список литературы</w:t>
      </w:r>
      <w:bookmarkEnd w:id="1"/>
    </w:p>
    <w:p w:rsidR="00B611E0" w:rsidRPr="00B611E0" w:rsidRDefault="00B611E0" w:rsidP="00B611E0">
      <w:pPr>
        <w:spacing w:line="360" w:lineRule="auto"/>
        <w:ind w:left="360"/>
        <w:jc w:val="center"/>
        <w:rPr>
          <w:rFonts w:eastAsia="Arial Unicode MS"/>
          <w:bCs/>
          <w:kern w:val="36"/>
          <w:sz w:val="28"/>
          <w:szCs w:val="28"/>
          <w:lang w:eastAsia="ru-RU"/>
        </w:rPr>
      </w:pPr>
      <w:r w:rsidRPr="00B611E0">
        <w:rPr>
          <w:rFonts w:eastAsia="Arial Unicode MS"/>
          <w:bCs/>
          <w:kern w:val="36"/>
          <w:sz w:val="28"/>
          <w:szCs w:val="28"/>
          <w:lang w:eastAsia="ru-RU"/>
        </w:rPr>
        <w:t>Законодательные и другие официальные материалы</w:t>
      </w:r>
    </w:p>
    <w:p w:rsidR="00B611E0" w:rsidRPr="00B611E0" w:rsidRDefault="00B611E0" w:rsidP="00B611E0">
      <w:pPr>
        <w:numPr>
          <w:ilvl w:val="0"/>
          <w:numId w:val="1"/>
        </w:numPr>
        <w:spacing w:line="360" w:lineRule="auto"/>
        <w:jc w:val="both"/>
        <w:rPr>
          <w:sz w:val="28"/>
          <w:szCs w:val="28"/>
        </w:rPr>
      </w:pPr>
      <w:r w:rsidRPr="00B611E0">
        <w:rPr>
          <w:sz w:val="28"/>
          <w:szCs w:val="28"/>
        </w:rPr>
        <w:t>Конституция Республики Казахстан, http://www.constitution.kz/razdel1/ (дата обращения 10.01.2017).</w:t>
      </w:r>
    </w:p>
    <w:p w:rsidR="00B611E0" w:rsidRPr="00B611E0" w:rsidRDefault="00B611E0" w:rsidP="00B611E0">
      <w:pPr>
        <w:numPr>
          <w:ilvl w:val="0"/>
          <w:numId w:val="1"/>
        </w:numPr>
        <w:spacing w:line="360" w:lineRule="auto"/>
        <w:jc w:val="both"/>
        <w:rPr>
          <w:sz w:val="28"/>
          <w:szCs w:val="28"/>
        </w:rPr>
      </w:pPr>
      <w:r w:rsidRPr="00B611E0">
        <w:rPr>
          <w:sz w:val="28"/>
          <w:szCs w:val="28"/>
        </w:rPr>
        <w:t>Послание Главы государства Н.А. Назарбаева народу Казахстана «Казахстанский путь-2050: Единая цель, единые интересы, единое будущее». //Казахстанская правда, 2014, 18 января. – С.18</w:t>
      </w:r>
    </w:p>
    <w:p w:rsidR="00B611E0" w:rsidRPr="00B611E0" w:rsidRDefault="00B611E0" w:rsidP="00B611E0">
      <w:pPr>
        <w:numPr>
          <w:ilvl w:val="0"/>
          <w:numId w:val="1"/>
        </w:numPr>
        <w:spacing w:line="360" w:lineRule="auto"/>
        <w:jc w:val="both"/>
        <w:rPr>
          <w:sz w:val="28"/>
          <w:szCs w:val="28"/>
        </w:rPr>
      </w:pPr>
      <w:r w:rsidRPr="00B611E0">
        <w:rPr>
          <w:sz w:val="28"/>
          <w:szCs w:val="28"/>
        </w:rPr>
        <w:t>Послание Президента Республики Казахстан - Лидера нации НА. Назарбаева народу Казахстана «Социально-экономическая модернизация - главный вектор развития Казахстана». - 27января 2012 г. //www.akorda.kz. (дата обращения 10.01.2017)</w:t>
      </w:r>
    </w:p>
    <w:p w:rsidR="00B611E0" w:rsidRPr="00B611E0" w:rsidRDefault="00B611E0" w:rsidP="00B611E0">
      <w:pPr>
        <w:numPr>
          <w:ilvl w:val="0"/>
          <w:numId w:val="1"/>
        </w:numPr>
        <w:spacing w:line="360" w:lineRule="auto"/>
        <w:jc w:val="both"/>
        <w:rPr>
          <w:sz w:val="28"/>
          <w:szCs w:val="28"/>
        </w:rPr>
      </w:pPr>
      <w:r w:rsidRPr="00B611E0">
        <w:rPr>
          <w:sz w:val="28"/>
          <w:szCs w:val="28"/>
        </w:rPr>
        <w:t xml:space="preserve">Послании Президента страны </w:t>
      </w:r>
      <w:proofErr w:type="spellStart"/>
      <w:r w:rsidRPr="00B611E0">
        <w:rPr>
          <w:sz w:val="28"/>
          <w:szCs w:val="28"/>
        </w:rPr>
        <w:t>Н.Назарбаева</w:t>
      </w:r>
      <w:proofErr w:type="spellEnd"/>
      <w:r w:rsidRPr="00B611E0">
        <w:rPr>
          <w:sz w:val="28"/>
          <w:szCs w:val="28"/>
        </w:rPr>
        <w:t xml:space="preserve"> народу Казахстана 17 января 2014 года  // </w:t>
      </w:r>
      <w:hyperlink r:id="rId5" w:history="1">
        <w:r w:rsidRPr="00B611E0">
          <w:rPr>
            <w:color w:val="0000FF"/>
            <w:sz w:val="28"/>
            <w:szCs w:val="28"/>
            <w:u w:val="single"/>
          </w:rPr>
          <w:t>http://prokuror.gov.kz/rus/gosudarstvo/poslaniya-prezidenta/poslanie-prezidenta-respubliki-kazahstan-nnazarbaeva-narodu</w:t>
        </w:r>
      </w:hyperlink>
      <w:r w:rsidRPr="00B611E0">
        <w:rPr>
          <w:sz w:val="28"/>
          <w:szCs w:val="28"/>
        </w:rPr>
        <w:t xml:space="preserve"> (дата обращения 10.01.2017)</w:t>
      </w:r>
    </w:p>
    <w:p w:rsidR="00B611E0" w:rsidRPr="00B611E0" w:rsidRDefault="00B611E0" w:rsidP="00B611E0">
      <w:pPr>
        <w:numPr>
          <w:ilvl w:val="0"/>
          <w:numId w:val="1"/>
        </w:numPr>
        <w:spacing w:line="360" w:lineRule="auto"/>
        <w:jc w:val="both"/>
        <w:rPr>
          <w:sz w:val="28"/>
          <w:szCs w:val="28"/>
        </w:rPr>
      </w:pPr>
      <w:r w:rsidRPr="00B611E0">
        <w:rPr>
          <w:sz w:val="28"/>
          <w:szCs w:val="28"/>
        </w:rPr>
        <w:t>Постановление Конституционного Совета Республики Казахстан от 11 октября 2000 г. №18/2 «Об официальном толковании пункта 3 статьи 4 Конституции Республики Казахстан», http://ksrk.gov.kz/rus/resheniya/?cid=11&amp;rid=134 (дата обращения 10.01.2017)</w:t>
      </w:r>
    </w:p>
    <w:p w:rsidR="00B611E0" w:rsidRPr="00B611E0" w:rsidRDefault="00B611E0" w:rsidP="00B611E0">
      <w:pPr>
        <w:spacing w:after="160" w:line="259" w:lineRule="auto"/>
        <w:sectPr w:rsidR="00B611E0" w:rsidRPr="00B611E0" w:rsidSect="00226C16">
          <w:footerReference w:type="even" r:id="rId6"/>
          <w:footerReference w:type="default" r:id="rId7"/>
          <w:pgSz w:w="11906" w:h="16838"/>
          <w:pgMar w:top="1134" w:right="850" w:bottom="1134" w:left="1701" w:header="708" w:footer="708" w:gutter="0"/>
          <w:pgNumType w:start="2"/>
          <w:cols w:space="708"/>
          <w:titlePg/>
          <w:docGrid w:linePitch="360"/>
        </w:sectPr>
      </w:pPr>
      <w:r>
        <w:br w:type="page"/>
      </w:r>
      <w:bookmarkStart w:id="2" w:name="_GoBack"/>
      <w:bookmarkEnd w:id="2"/>
    </w:p>
    <w:p w:rsidR="00C41668" w:rsidRDefault="00C41668"/>
    <w:sectPr w:rsidR="00C416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C16" w:rsidRDefault="00B611E0" w:rsidP="00CF4CD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26C16" w:rsidRDefault="00B611E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C16" w:rsidRDefault="00B611E0" w:rsidP="00CF4CD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226C16" w:rsidRDefault="00B611E0">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A0D85"/>
    <w:multiLevelType w:val="hybridMultilevel"/>
    <w:tmpl w:val="D214BE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31"/>
    <w:rsid w:val="00B611E0"/>
    <w:rsid w:val="00C16731"/>
    <w:rsid w:val="00C41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ACE30"/>
  <w15:chartTrackingRefBased/>
  <w15:docId w15:val="{19E3C43C-9C7A-4E31-AA41-C4995079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1E0"/>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B611E0"/>
    <w:pPr>
      <w:keepNext/>
      <w:spacing w:before="240" w:after="60"/>
      <w:outlineLvl w:val="0"/>
    </w:pPr>
    <w:rPr>
      <w:rFonts w:ascii="Arial" w:hAnsi="Arial" w:cs="Arial"/>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11E0"/>
    <w:rPr>
      <w:rFonts w:ascii="Arial" w:eastAsia="SimSun" w:hAnsi="Arial" w:cs="Arial"/>
      <w:b/>
      <w:bCs/>
      <w:kern w:val="32"/>
      <w:sz w:val="32"/>
      <w:szCs w:val="32"/>
      <w:lang w:eastAsia="zh-CN"/>
    </w:rPr>
  </w:style>
  <w:style w:type="paragraph" w:styleId="a3">
    <w:name w:val="footer"/>
    <w:basedOn w:val="a"/>
    <w:link w:val="a4"/>
    <w:rsid w:val="00B611E0"/>
    <w:pPr>
      <w:tabs>
        <w:tab w:val="center" w:pos="4677"/>
        <w:tab w:val="right" w:pos="9355"/>
      </w:tabs>
    </w:pPr>
  </w:style>
  <w:style w:type="character" w:customStyle="1" w:styleId="a4">
    <w:name w:val="Нижний колонтитул Знак"/>
    <w:basedOn w:val="a0"/>
    <w:link w:val="a3"/>
    <w:rsid w:val="00B611E0"/>
    <w:rPr>
      <w:rFonts w:ascii="Times New Roman" w:eastAsia="SimSun" w:hAnsi="Times New Roman" w:cs="Times New Roman"/>
      <w:sz w:val="24"/>
      <w:szCs w:val="24"/>
      <w:lang w:eastAsia="zh-CN"/>
    </w:rPr>
  </w:style>
  <w:style w:type="character" w:styleId="a5">
    <w:name w:val="page number"/>
    <w:basedOn w:val="a0"/>
    <w:rsid w:val="00B611E0"/>
  </w:style>
  <w:style w:type="character" w:styleId="a6">
    <w:name w:val="Hyperlink"/>
    <w:basedOn w:val="a0"/>
    <w:uiPriority w:val="99"/>
    <w:unhideWhenUsed/>
    <w:rsid w:val="00B611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prokuror.gov.kz/rus/gosudarstvo/poslaniya-prezidenta/poslanie-prezidenta-respubliki-kazahstan-nnazarbaeva-naro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462</Words>
  <Characters>2639</Characters>
  <Application>Microsoft Office Word</Application>
  <DocSecurity>0</DocSecurity>
  <Lines>21</Lines>
  <Paragraphs>6</Paragraphs>
  <ScaleCrop>false</ScaleCrop>
  <Company>SPecialiST RePack</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Kursovik-1</dc:creator>
  <cp:keywords/>
  <dc:description/>
  <cp:lastModifiedBy>Kursovik-1</cp:lastModifiedBy>
  <cp:revision>2</cp:revision>
  <dcterms:created xsi:type="dcterms:W3CDTF">2019-01-14T11:19:00Z</dcterms:created>
  <dcterms:modified xsi:type="dcterms:W3CDTF">2019-01-14T11:21:00Z</dcterms:modified>
</cp:coreProperties>
</file>