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07" w:rsidRDefault="006C1885" w:rsidP="006C18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1885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6C1885">
        <w:rPr>
          <w:rFonts w:ascii="Times New Roman" w:hAnsi="Times New Roman" w:cs="Times New Roman"/>
          <w:sz w:val="28"/>
          <w:szCs w:val="28"/>
        </w:rPr>
        <w:t xml:space="preserve">_ </w:t>
      </w:r>
      <w:r w:rsidRPr="006C1885">
        <w:rPr>
          <w:rFonts w:ascii="Times New Roman" w:hAnsi="Times New Roman" w:cs="Times New Roman"/>
          <w:sz w:val="28"/>
          <w:szCs w:val="28"/>
        </w:rPr>
        <w:t>Понятие и структура учетной политики</w:t>
      </w:r>
    </w:p>
    <w:p w:rsidR="006C1885" w:rsidRDefault="006C1885" w:rsidP="006C1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Стр-29</w:t>
      </w:r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r w:rsidRPr="006C1885">
        <w:rPr>
          <w:rFonts w:ascii="Times New Roman" w:eastAsia="Calibri" w:hAnsi="Times New Roman" w:cs="Times New Roman"/>
          <w:color w:val="000000"/>
          <w:sz w:val="28"/>
        </w:rPr>
        <w:fldChar w:fldCharType="begin"/>
      </w:r>
      <w:r w:rsidRPr="006C1885">
        <w:rPr>
          <w:rFonts w:ascii="Times New Roman" w:eastAsia="Calibri" w:hAnsi="Times New Roman" w:cs="Times New Roman"/>
          <w:color w:val="000000"/>
          <w:sz w:val="28"/>
        </w:rPr>
        <w:instrText xml:space="preserve"> TOC \o "1-3" \h \z \u </w:instrText>
      </w:r>
      <w:r w:rsidRPr="006C1885">
        <w:rPr>
          <w:rFonts w:ascii="Times New Roman" w:eastAsia="Calibri" w:hAnsi="Times New Roman" w:cs="Times New Roman"/>
          <w:color w:val="000000"/>
          <w:sz w:val="28"/>
        </w:rPr>
        <w:fldChar w:fldCharType="separate"/>
      </w:r>
      <w:hyperlink w:anchor="_Toc480468118" w:history="1">
        <w:r w:rsidRPr="006C1885">
          <w:rPr>
            <w:rFonts w:ascii="Times New Roman" w:eastAsia="Times New Roman" w:hAnsi="Times New Roman" w:cs="Times New Roman"/>
            <w:caps/>
            <w:noProof/>
            <w:color w:val="000000"/>
            <w:sz w:val="28"/>
            <w:szCs w:val="32"/>
          </w:rPr>
          <w:t>введение</w:t>
        </w:r>
      </w:hyperlink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hyperlink w:anchor="_Toc480468119" w:history="1">
        <w:r w:rsidRPr="006C1885">
          <w:rPr>
            <w:rFonts w:ascii="Times New Roman" w:eastAsia="Calibri" w:hAnsi="Times New Roman" w:cs="Times New Roman"/>
            <w:noProof/>
            <w:color w:val="000000"/>
            <w:sz w:val="28"/>
          </w:rPr>
          <w:t>1 ЭКОНОМИЧЕСКАЯ ПРИРОДА УЧЕТНОЙ ПОЛИТИКИ И ТЕОРЕТИЧЕСКИЕ АСПЕКТЫ ЕЕ ФОРМИРОВАНИЯ</w:t>
        </w:r>
      </w:hyperlink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hyperlink w:anchor="_Toc480468120" w:history="1">
        <w:r w:rsidRPr="006C1885">
          <w:rPr>
            <w:rFonts w:ascii="Times New Roman" w:eastAsia="Calibri" w:hAnsi="Times New Roman" w:cs="Times New Roman"/>
            <w:noProof/>
            <w:color w:val="000000"/>
            <w:sz w:val="28"/>
          </w:rPr>
          <w:t>1.1 Роль и значение учетной политики в организации бухгалтерского учета компании</w:t>
        </w:r>
      </w:hyperlink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hyperlink w:anchor="_Toc480468121" w:history="1">
        <w:r w:rsidRPr="006C1885">
          <w:rPr>
            <w:rFonts w:ascii="Times New Roman" w:eastAsia="Calibri" w:hAnsi="Times New Roman" w:cs="Times New Roman"/>
            <w:noProof/>
            <w:color w:val="000000"/>
            <w:sz w:val="28"/>
          </w:rPr>
          <w:t>1.2 Методические аспекты учетной политики компании для целей бухгалтерского учета</w:t>
        </w:r>
      </w:hyperlink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hyperlink w:anchor="_Toc480468122" w:history="1">
        <w:r w:rsidRPr="006C1885">
          <w:rPr>
            <w:rFonts w:ascii="Times New Roman" w:eastAsia="Calibri" w:hAnsi="Times New Roman" w:cs="Times New Roman"/>
            <w:noProof/>
            <w:color w:val="000000"/>
            <w:sz w:val="28"/>
          </w:rPr>
          <w:t>1.3 Механизм формирования учетной политики</w:t>
        </w:r>
      </w:hyperlink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hyperlink w:anchor="_Toc480468123" w:history="1">
        <w:r w:rsidRPr="006C1885">
          <w:rPr>
            <w:rFonts w:ascii="Times New Roman" w:eastAsia="Calibri" w:hAnsi="Times New Roman" w:cs="Times New Roman"/>
            <w:noProof/>
            <w:color w:val="000000"/>
            <w:sz w:val="28"/>
          </w:rPr>
          <w:t>2 СТРУКТУРА И СОДЕРЖАНИЕ УЧЕТНОЙ ПОЛИТИКИ</w:t>
        </w:r>
      </w:hyperlink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hyperlink w:anchor="_Toc480468124" w:history="1">
        <w:r w:rsidRPr="006C1885">
          <w:rPr>
            <w:rFonts w:ascii="Times New Roman" w:eastAsia="Calibri" w:hAnsi="Times New Roman" w:cs="Times New Roman"/>
            <w:noProof/>
            <w:color w:val="000000"/>
            <w:sz w:val="28"/>
          </w:rPr>
          <w:t xml:space="preserve">2.1 Разработка и формирование учетной политики в соответствии с МСФО на примере предприятия </w:t>
        </w:r>
      </w:hyperlink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hyperlink w:anchor="_Toc480468125" w:history="1">
        <w:r w:rsidRPr="006C1885">
          <w:rPr>
            <w:rFonts w:ascii="Times New Roman" w:eastAsia="Calibri" w:hAnsi="Times New Roman" w:cs="Times New Roman"/>
            <w:noProof/>
            <w:color w:val="000000"/>
            <w:sz w:val="28"/>
          </w:rPr>
          <w:t>2.2 Учетная и налоговая политика компании и изменения в расчетных оценках</w:t>
        </w:r>
      </w:hyperlink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hyperlink w:anchor="_Toc480468126" w:history="1">
        <w:r w:rsidRPr="006C1885">
          <w:rPr>
            <w:rFonts w:ascii="Times New Roman" w:eastAsia="Calibri" w:hAnsi="Times New Roman" w:cs="Times New Roman"/>
            <w:noProof/>
            <w:color w:val="000000"/>
            <w:sz w:val="28"/>
          </w:rPr>
          <w:t>2.3 Раскрытия информации об изменении в учетной политике</w:t>
        </w:r>
      </w:hyperlink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hyperlink w:anchor="_Toc480468127" w:history="1">
        <w:r w:rsidRPr="006C1885">
          <w:rPr>
            <w:rFonts w:ascii="Times New Roman" w:eastAsia="Times New Roman" w:hAnsi="Times New Roman" w:cs="Times New Roman"/>
            <w:caps/>
            <w:noProof/>
            <w:color w:val="000000"/>
            <w:sz w:val="28"/>
            <w:szCs w:val="32"/>
          </w:rPr>
          <w:t>заключение</w:t>
        </w:r>
      </w:hyperlink>
    </w:p>
    <w:p w:rsidR="006C1885" w:rsidRPr="006C1885" w:rsidRDefault="006C1885" w:rsidP="006C1885">
      <w:pPr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8"/>
        </w:rPr>
      </w:pPr>
      <w:hyperlink w:anchor="_Toc480468128" w:history="1">
        <w:r w:rsidRPr="006C1885">
          <w:rPr>
            <w:rFonts w:ascii="Times New Roman" w:eastAsia="Times New Roman" w:hAnsi="Times New Roman" w:cs="Times New Roman"/>
            <w:caps/>
            <w:noProof/>
            <w:color w:val="000000"/>
            <w:sz w:val="28"/>
            <w:szCs w:val="32"/>
          </w:rPr>
          <w:t>Список используемой литературы</w:t>
        </w:r>
      </w:hyperlink>
    </w:p>
    <w:p w:rsidR="006C1885" w:rsidRDefault="006C1885" w:rsidP="006C1885">
      <w:pPr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6C1885">
        <w:rPr>
          <w:rFonts w:ascii="Times New Roman" w:eastAsia="Calibri" w:hAnsi="Times New Roman" w:cs="Times New Roman"/>
          <w:b/>
          <w:bCs/>
          <w:color w:val="000000"/>
          <w:sz w:val="28"/>
        </w:rPr>
        <w:fldChar w:fldCharType="end"/>
      </w:r>
    </w:p>
    <w:p w:rsidR="006C1885" w:rsidRDefault="006C1885">
      <w:pPr>
        <w:rPr>
          <w:rFonts w:ascii="Times New Roman" w:eastAsia="Calibri" w:hAnsi="Times New Roman" w:cs="Times New Roman"/>
          <w:b/>
          <w:bCs/>
          <w:color w:val="000000"/>
          <w:sz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</w:rPr>
        <w:br w:type="page"/>
      </w:r>
    </w:p>
    <w:p w:rsidR="006C1885" w:rsidRPr="006C1885" w:rsidRDefault="006C1885" w:rsidP="006C1885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aps/>
          <w:color w:val="000000"/>
          <w:sz w:val="28"/>
          <w:szCs w:val="32"/>
        </w:rPr>
      </w:pPr>
      <w:bookmarkStart w:id="0" w:name="_Toc480468127"/>
      <w:r w:rsidRPr="006C1885">
        <w:rPr>
          <w:rFonts w:ascii="Times New Roman" w:eastAsia="Times New Roman" w:hAnsi="Times New Roman" w:cs="Times New Roman"/>
          <w:caps/>
          <w:color w:val="000000"/>
          <w:sz w:val="28"/>
          <w:szCs w:val="32"/>
        </w:rPr>
        <w:lastRenderedPageBreak/>
        <w:t>заключение</w:t>
      </w:r>
      <w:bookmarkEnd w:id="0"/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C1885">
        <w:rPr>
          <w:rFonts w:ascii="Times New Roman" w:eastAsia="Calibri" w:hAnsi="Times New Roman" w:cs="Times New Roman"/>
          <w:sz w:val="28"/>
        </w:rPr>
        <w:t xml:space="preserve">Каждое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часть</w:t>
      </w:r>
      <w:proofErr w:type="gramEnd"/>
      <w:r w:rsidRPr="006C1885">
        <w:rPr>
          <w:rFonts w:ascii="Times New Roman" w:eastAsia="Calibri" w:hAnsi="Times New Roman" w:cs="Times New Roman"/>
          <w:sz w:val="28"/>
        </w:rPr>
        <w:t xml:space="preserve"> предприятие имеет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estimate</w:t>
      </w:r>
      <w:r w:rsidRPr="006C1885">
        <w:rPr>
          <w:rFonts w:ascii="Times New Roman" w:eastAsia="Calibri" w:hAnsi="Times New Roman" w:cs="Times New Roman"/>
          <w:sz w:val="28"/>
        </w:rPr>
        <w:t xml:space="preserve"> возможность выбрать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предприятия</w:t>
      </w:r>
      <w:r w:rsidRPr="006C1885">
        <w:rPr>
          <w:rFonts w:ascii="Times New Roman" w:eastAsia="Calibri" w:hAnsi="Times New Roman" w:cs="Times New Roman"/>
          <w:sz w:val="28"/>
        </w:rPr>
        <w:t xml:space="preserve"> любой приемлемый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учет</w:t>
      </w:r>
      <w:r w:rsidRPr="006C1885">
        <w:rPr>
          <w:rFonts w:ascii="Times New Roman" w:eastAsia="Calibri" w:hAnsi="Times New Roman" w:cs="Times New Roman"/>
          <w:sz w:val="28"/>
        </w:rPr>
        <w:t xml:space="preserve">для себя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формы</w:t>
      </w:r>
      <w:r w:rsidRPr="006C1885">
        <w:rPr>
          <w:rFonts w:ascii="Times New Roman" w:eastAsia="Calibri" w:hAnsi="Times New Roman" w:cs="Times New Roman"/>
          <w:sz w:val="28"/>
        </w:rPr>
        <w:t xml:space="preserve"> способ учета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соответствии</w:t>
      </w:r>
      <w:r w:rsidRPr="006C1885">
        <w:rPr>
          <w:rFonts w:ascii="Times New Roman" w:eastAsia="Calibri" w:hAnsi="Times New Roman" w:cs="Times New Roman"/>
          <w:sz w:val="28"/>
        </w:rPr>
        <w:t xml:space="preserve"> по тем или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обеспечение</w:t>
      </w:r>
      <w:r w:rsidRPr="006C1885">
        <w:rPr>
          <w:rFonts w:ascii="Times New Roman" w:eastAsia="Calibri" w:hAnsi="Times New Roman" w:cs="Times New Roman"/>
          <w:sz w:val="28"/>
        </w:rPr>
        <w:t xml:space="preserve"> иным вопросам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изменении</w:t>
      </w:r>
      <w:r w:rsidRPr="006C1885">
        <w:rPr>
          <w:rFonts w:ascii="Times New Roman" w:eastAsia="Calibri" w:hAnsi="Times New Roman" w:cs="Times New Roman"/>
          <w:sz w:val="28"/>
        </w:rPr>
        <w:t xml:space="preserve"> в зависимости от специфики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применения</w:t>
      </w:r>
      <w:r w:rsidRPr="006C1885">
        <w:rPr>
          <w:rFonts w:ascii="Times New Roman" w:eastAsia="Calibri" w:hAnsi="Times New Roman" w:cs="Times New Roman"/>
          <w:sz w:val="28"/>
        </w:rPr>
        <w:t xml:space="preserve"> деятельности предприятия. </w:t>
      </w:r>
      <w:proofErr w:type="gramStart"/>
      <w:r w:rsidRPr="006C1885">
        <w:rPr>
          <w:rFonts w:ascii="Times New Roman" w:eastAsia="Calibri" w:hAnsi="Times New Roman" w:cs="Times New Roman"/>
          <w:sz w:val="28"/>
        </w:rPr>
        <w:t xml:space="preserve">Такая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возникает</w:t>
      </w:r>
      <w:proofErr w:type="gramEnd"/>
      <w:r w:rsidRPr="006C1885">
        <w:rPr>
          <w:rFonts w:ascii="Times New Roman" w:eastAsia="Calibri" w:hAnsi="Times New Roman" w:cs="Times New Roman"/>
          <w:sz w:val="28"/>
        </w:rPr>
        <w:t xml:space="preserve"> возможность имеется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перемены</w:t>
      </w:r>
      <w:r w:rsidRPr="006C1885">
        <w:rPr>
          <w:rFonts w:ascii="Times New Roman" w:eastAsia="Calibri" w:hAnsi="Times New Roman" w:cs="Times New Roman"/>
          <w:sz w:val="28"/>
        </w:rPr>
        <w:t xml:space="preserve">благодаря учетной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изменении</w:t>
      </w:r>
      <w:r w:rsidRPr="006C1885">
        <w:rPr>
          <w:rFonts w:ascii="Times New Roman" w:eastAsia="Calibri" w:hAnsi="Times New Roman" w:cs="Times New Roman"/>
          <w:sz w:val="28"/>
        </w:rPr>
        <w:t xml:space="preserve"> политике, благодаря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калькуляция</w:t>
      </w:r>
      <w:r w:rsidRPr="006C1885">
        <w:rPr>
          <w:rFonts w:ascii="Times New Roman" w:eastAsia="Calibri" w:hAnsi="Times New Roman" w:cs="Times New Roman"/>
          <w:sz w:val="28"/>
        </w:rPr>
        <w:t xml:space="preserve"> гибкости учетной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изменении</w:t>
      </w:r>
      <w:r w:rsidRPr="006C1885">
        <w:rPr>
          <w:rFonts w:ascii="Times New Roman" w:eastAsia="Calibri" w:hAnsi="Times New Roman" w:cs="Times New Roman"/>
          <w:sz w:val="28"/>
        </w:rPr>
        <w:t xml:space="preserve"> политики ее использование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применении</w:t>
      </w:r>
      <w:r w:rsidRPr="006C1885">
        <w:rPr>
          <w:rFonts w:ascii="Times New Roman" w:eastAsia="Calibri" w:hAnsi="Times New Roman" w:cs="Times New Roman"/>
          <w:sz w:val="28"/>
        </w:rPr>
        <w:t xml:space="preserve"> предполагается всеми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существенными</w:t>
      </w:r>
      <w:r w:rsidRPr="006C1885">
        <w:rPr>
          <w:rFonts w:ascii="Times New Roman" w:eastAsia="Calibri" w:hAnsi="Times New Roman" w:cs="Times New Roman"/>
          <w:sz w:val="28"/>
        </w:rPr>
        <w:t xml:space="preserve"> организациями независимо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изменение</w:t>
      </w:r>
      <w:r w:rsidRPr="006C1885">
        <w:rPr>
          <w:rFonts w:ascii="Times New Roman" w:eastAsia="Calibri" w:hAnsi="Times New Roman" w:cs="Times New Roman"/>
          <w:sz w:val="28"/>
        </w:rPr>
        <w:t xml:space="preserve"> от организационно-правовых форм.</w:t>
      </w:r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C1885">
        <w:rPr>
          <w:rFonts w:ascii="Times New Roman" w:eastAsia="Calibri" w:hAnsi="Times New Roman" w:cs="Times New Roman"/>
          <w:sz w:val="28"/>
        </w:rPr>
        <w:t xml:space="preserve">Необходимость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представляемая</w:t>
      </w:r>
      <w:proofErr w:type="gramEnd"/>
      <w:r w:rsidRPr="006C1885">
        <w:rPr>
          <w:rFonts w:ascii="Times New Roman" w:eastAsia="Calibri" w:hAnsi="Times New Roman" w:cs="Times New Roman"/>
          <w:sz w:val="28"/>
        </w:rPr>
        <w:t xml:space="preserve"> разработки и реализации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соответствии</w:t>
      </w:r>
      <w:r w:rsidRPr="006C1885">
        <w:rPr>
          <w:rFonts w:ascii="Times New Roman" w:eastAsia="Calibri" w:hAnsi="Times New Roman" w:cs="Times New Roman"/>
          <w:sz w:val="28"/>
        </w:rPr>
        <w:t xml:space="preserve"> учетной политики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аккредитивами</w:t>
      </w:r>
      <w:r w:rsidRPr="006C1885">
        <w:rPr>
          <w:rFonts w:ascii="Times New Roman" w:eastAsia="Calibri" w:hAnsi="Times New Roman" w:cs="Times New Roman"/>
          <w:sz w:val="28"/>
        </w:rPr>
        <w:t xml:space="preserve">организации обусловлена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иных</w:t>
      </w:r>
      <w:r w:rsidRPr="006C1885">
        <w:rPr>
          <w:rFonts w:ascii="Times New Roman" w:eastAsia="Calibri" w:hAnsi="Times New Roman" w:cs="Times New Roman"/>
          <w:sz w:val="28"/>
        </w:rPr>
        <w:t xml:space="preserve"> практическим осуществлением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финансовый</w:t>
      </w:r>
      <w:r w:rsidRPr="006C1885">
        <w:rPr>
          <w:rFonts w:ascii="Times New Roman" w:eastAsia="Calibri" w:hAnsi="Times New Roman" w:cs="Times New Roman"/>
          <w:sz w:val="28"/>
        </w:rPr>
        <w:t xml:space="preserve"> бухгалтерского учета,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входящей</w:t>
      </w:r>
      <w:r w:rsidRPr="006C1885">
        <w:rPr>
          <w:rFonts w:ascii="Times New Roman" w:eastAsia="Calibri" w:hAnsi="Times New Roman" w:cs="Times New Roman"/>
          <w:sz w:val="28"/>
        </w:rPr>
        <w:t xml:space="preserve">применением его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может</w:t>
      </w:r>
      <w:r w:rsidRPr="006C1885">
        <w:rPr>
          <w:rFonts w:ascii="Times New Roman" w:eastAsia="Calibri" w:hAnsi="Times New Roman" w:cs="Times New Roman"/>
          <w:sz w:val="28"/>
        </w:rPr>
        <w:t xml:space="preserve"> метода, под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</w:t>
      </w:r>
      <w:r w:rsidRPr="006C1885">
        <w:rPr>
          <w:rFonts w:ascii="Times New Roman" w:eastAsia="Calibri" w:hAnsi="Times New Roman" w:cs="Times New Roman"/>
          <w:sz w:val="28"/>
        </w:rPr>
        <w:t xml:space="preserve"> которым понимается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целью</w:t>
      </w:r>
      <w:r w:rsidRPr="006C1885">
        <w:rPr>
          <w:rFonts w:ascii="Times New Roman" w:eastAsia="Calibri" w:hAnsi="Times New Roman" w:cs="Times New Roman"/>
          <w:sz w:val="28"/>
        </w:rPr>
        <w:t xml:space="preserve"> взаимосвязанное отражение,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особенности</w:t>
      </w:r>
      <w:r w:rsidRPr="006C1885">
        <w:rPr>
          <w:rFonts w:ascii="Times New Roman" w:eastAsia="Calibri" w:hAnsi="Times New Roman" w:cs="Times New Roman"/>
          <w:sz w:val="28"/>
        </w:rPr>
        <w:t xml:space="preserve"> обобщение и соизмерение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организация</w:t>
      </w:r>
      <w:r w:rsidRPr="006C1885">
        <w:rPr>
          <w:rFonts w:ascii="Times New Roman" w:eastAsia="Calibri" w:hAnsi="Times New Roman" w:cs="Times New Roman"/>
          <w:sz w:val="28"/>
        </w:rPr>
        <w:t xml:space="preserve"> в денежном выражении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начисление</w:t>
      </w:r>
      <w:r w:rsidRPr="006C1885">
        <w:rPr>
          <w:rFonts w:ascii="Times New Roman" w:eastAsia="Calibri" w:hAnsi="Times New Roman" w:cs="Times New Roman"/>
          <w:sz w:val="28"/>
        </w:rPr>
        <w:t xml:space="preserve"> фактов хозяйственной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план</w:t>
      </w:r>
      <w:r w:rsidRPr="006C1885">
        <w:rPr>
          <w:rFonts w:ascii="Times New Roman" w:eastAsia="Calibri" w:hAnsi="Times New Roman" w:cs="Times New Roman"/>
          <w:sz w:val="28"/>
        </w:rPr>
        <w:t xml:space="preserve"> жизни.</w:t>
      </w:r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6C1885">
        <w:rPr>
          <w:rFonts w:ascii="Times New Roman" w:eastAsia="Calibri" w:hAnsi="Times New Roman" w:cs="Times New Roman"/>
          <w:sz w:val="28"/>
        </w:rPr>
        <w:t xml:space="preserve">Учетная политика - </w:t>
      </w:r>
      <w:proofErr w:type="gramStart"/>
      <w:r w:rsidRPr="006C1885">
        <w:rPr>
          <w:rFonts w:ascii="Times New Roman" w:eastAsia="Calibri" w:hAnsi="Times New Roman" w:cs="Times New Roman"/>
          <w:sz w:val="28"/>
        </w:rPr>
        <w:t xml:space="preserve">это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используются</w:t>
      </w:r>
      <w:proofErr w:type="gramEnd"/>
      <w:r w:rsidRPr="006C1885">
        <w:rPr>
          <w:rFonts w:ascii="Times New Roman" w:eastAsia="Calibri" w:hAnsi="Times New Roman" w:cs="Times New Roman"/>
          <w:sz w:val="28"/>
        </w:rPr>
        <w:t xml:space="preserve"> совокупность способов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финансового</w:t>
      </w:r>
      <w:r w:rsidRPr="006C1885">
        <w:rPr>
          <w:rFonts w:ascii="Times New Roman" w:eastAsia="Calibri" w:hAnsi="Times New Roman" w:cs="Times New Roman"/>
          <w:sz w:val="28"/>
        </w:rPr>
        <w:t xml:space="preserve"> ведения бухгалтерского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являющаяся</w:t>
      </w:r>
      <w:r w:rsidRPr="006C1885">
        <w:rPr>
          <w:rFonts w:ascii="Times New Roman" w:eastAsia="Calibri" w:hAnsi="Times New Roman" w:cs="Times New Roman"/>
          <w:sz w:val="28"/>
        </w:rPr>
        <w:t xml:space="preserve">учета, избранных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организация</w:t>
      </w:r>
      <w:r w:rsidRPr="006C1885">
        <w:rPr>
          <w:rFonts w:ascii="Times New Roman" w:eastAsia="Calibri" w:hAnsi="Times New Roman" w:cs="Times New Roman"/>
          <w:sz w:val="28"/>
        </w:rPr>
        <w:t xml:space="preserve"> организацией в качестве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сумму</w:t>
      </w:r>
      <w:r w:rsidRPr="006C1885">
        <w:rPr>
          <w:rFonts w:ascii="Times New Roman" w:eastAsia="Calibri" w:hAnsi="Times New Roman" w:cs="Times New Roman"/>
          <w:sz w:val="28"/>
        </w:rPr>
        <w:t xml:space="preserve"> соответствующих условиям </w:t>
      </w:r>
      <w:r w:rsidRPr="006C1885">
        <w:rPr>
          <w:rFonts w:ascii="Estrangelo Edessa" w:eastAsia="Calibri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6C1885">
        <w:rPr>
          <w:rFonts w:ascii="Cambria" w:eastAsia="Calibri" w:hAnsi="Cambria" w:cs="Cambria"/>
          <w:noProof/>
          <w:color w:val="FFFFFF"/>
          <w:spacing w:val="-20000"/>
          <w:sz w:val="2"/>
          <w:szCs w:val="2"/>
          <w:lang w:val="sq-AL" w:eastAsia="ru-RU"/>
        </w:rPr>
        <w:t>самой</w:t>
      </w:r>
      <w:r w:rsidRPr="006C1885">
        <w:rPr>
          <w:rFonts w:ascii="Times New Roman" w:eastAsia="Calibri" w:hAnsi="Times New Roman" w:cs="Times New Roman"/>
          <w:sz w:val="28"/>
        </w:rPr>
        <w:t xml:space="preserve"> хозяйствования.</w:t>
      </w:r>
    </w:p>
    <w:p w:rsidR="006C1885" w:rsidRDefault="006C1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1885" w:rsidRPr="006C1885" w:rsidRDefault="006C1885" w:rsidP="006C1885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aps/>
          <w:color w:val="000000"/>
          <w:sz w:val="28"/>
          <w:szCs w:val="32"/>
        </w:rPr>
      </w:pPr>
      <w:bookmarkStart w:id="1" w:name="_Toc480468128"/>
      <w:r w:rsidRPr="006C1885">
        <w:rPr>
          <w:rFonts w:ascii="Times New Roman" w:eastAsia="Times New Roman" w:hAnsi="Times New Roman" w:cs="Times New Roman"/>
          <w:caps/>
          <w:color w:val="000000"/>
          <w:sz w:val="28"/>
          <w:szCs w:val="32"/>
        </w:rPr>
        <w:lastRenderedPageBreak/>
        <w:t>Список используемой литературы</w:t>
      </w:r>
      <w:bookmarkEnd w:id="1"/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6C1885">
        <w:rPr>
          <w:rFonts w:ascii="Times New Roman" w:eastAsia="Calibri" w:hAnsi="Times New Roman" w:cs="Times New Roman"/>
          <w:sz w:val="28"/>
        </w:rPr>
        <w:t>1. Попова Л.А. Финансовый учет хозяйствующих субъектов – учебное пособие, Караганда, 2009 год.</w:t>
      </w:r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6C1885">
        <w:rPr>
          <w:rFonts w:ascii="Times New Roman" w:eastAsia="Calibri" w:hAnsi="Times New Roman" w:cs="Times New Roman"/>
          <w:sz w:val="28"/>
        </w:rPr>
        <w:t>2.   Путеводитель бухгалтера. Алматы: ТОО «Центральный Дом Бухгалтера», 2009.</w:t>
      </w:r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6C1885">
        <w:rPr>
          <w:rFonts w:ascii="Times New Roman" w:eastAsia="Calibri" w:hAnsi="Times New Roman" w:cs="Times New Roman"/>
          <w:sz w:val="28"/>
        </w:rPr>
        <w:t>3.   </w:t>
      </w:r>
      <w:proofErr w:type="spellStart"/>
      <w:r w:rsidRPr="006C1885">
        <w:rPr>
          <w:rFonts w:ascii="Times New Roman" w:eastAsia="Calibri" w:hAnsi="Times New Roman" w:cs="Times New Roman"/>
          <w:sz w:val="28"/>
        </w:rPr>
        <w:t>Шуванова</w:t>
      </w:r>
      <w:proofErr w:type="spellEnd"/>
      <w:r w:rsidRPr="006C1885">
        <w:rPr>
          <w:rFonts w:ascii="Times New Roman" w:eastAsia="Calibri" w:hAnsi="Times New Roman" w:cs="Times New Roman"/>
          <w:sz w:val="28"/>
        </w:rPr>
        <w:t xml:space="preserve"> В. И., </w:t>
      </w:r>
      <w:proofErr w:type="spellStart"/>
      <w:r w:rsidRPr="006C1885">
        <w:rPr>
          <w:rFonts w:ascii="Times New Roman" w:eastAsia="Calibri" w:hAnsi="Times New Roman" w:cs="Times New Roman"/>
          <w:sz w:val="28"/>
        </w:rPr>
        <w:t>Абдиманапов</w:t>
      </w:r>
      <w:proofErr w:type="spellEnd"/>
      <w:r w:rsidRPr="006C1885">
        <w:rPr>
          <w:rFonts w:ascii="Times New Roman" w:eastAsia="Calibri" w:hAnsi="Times New Roman" w:cs="Times New Roman"/>
          <w:sz w:val="28"/>
        </w:rPr>
        <w:t xml:space="preserve"> А. А. Организация бухгалтерского учета и формирование учетной политики предприятия: учебное пособие – Алматы, 2001.</w:t>
      </w:r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6C1885">
        <w:rPr>
          <w:rFonts w:ascii="Times New Roman" w:eastAsia="Calibri" w:hAnsi="Times New Roman" w:cs="Times New Roman"/>
          <w:sz w:val="28"/>
        </w:rPr>
        <w:t xml:space="preserve">4. </w:t>
      </w:r>
      <w:proofErr w:type="spellStart"/>
      <w:r w:rsidRPr="006C1885">
        <w:rPr>
          <w:rFonts w:ascii="Times New Roman" w:eastAsia="Calibri" w:hAnsi="Times New Roman" w:cs="Times New Roman"/>
          <w:sz w:val="28"/>
        </w:rPr>
        <w:t>Радостовец</w:t>
      </w:r>
      <w:proofErr w:type="spellEnd"/>
      <w:r w:rsidRPr="006C1885">
        <w:rPr>
          <w:rFonts w:ascii="Times New Roman" w:eastAsia="Calibri" w:hAnsi="Times New Roman" w:cs="Times New Roman"/>
          <w:sz w:val="28"/>
        </w:rPr>
        <w:t xml:space="preserve"> В. В., Шмидт О. И. Теория и отраслевые особенности бухгалтерского учета - Алматы: </w:t>
      </w:r>
      <w:proofErr w:type="spellStart"/>
      <w:r w:rsidRPr="006C1885">
        <w:rPr>
          <w:rFonts w:ascii="Times New Roman" w:eastAsia="Calibri" w:hAnsi="Times New Roman" w:cs="Times New Roman"/>
          <w:sz w:val="28"/>
        </w:rPr>
        <w:t>Центраудит</w:t>
      </w:r>
      <w:proofErr w:type="spellEnd"/>
      <w:r w:rsidRPr="006C1885">
        <w:rPr>
          <w:rFonts w:ascii="Times New Roman" w:eastAsia="Calibri" w:hAnsi="Times New Roman" w:cs="Times New Roman"/>
          <w:sz w:val="28"/>
        </w:rPr>
        <w:t>-Казахстан, 2000. - 496с.</w:t>
      </w:r>
    </w:p>
    <w:p w:rsidR="006C1885" w:rsidRPr="006C1885" w:rsidRDefault="006C1885" w:rsidP="006C18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6C1885"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 w:rsidRPr="006C1885">
        <w:rPr>
          <w:rFonts w:ascii="Times New Roman" w:eastAsia="Calibri" w:hAnsi="Times New Roman" w:cs="Times New Roman"/>
          <w:sz w:val="28"/>
        </w:rPr>
        <w:t>Есмагамбетова</w:t>
      </w:r>
      <w:proofErr w:type="spellEnd"/>
      <w:r w:rsidRPr="006C1885">
        <w:rPr>
          <w:rFonts w:ascii="Times New Roman" w:eastAsia="Calibri" w:hAnsi="Times New Roman" w:cs="Times New Roman"/>
          <w:sz w:val="28"/>
        </w:rPr>
        <w:t xml:space="preserve"> М. Учетная политика в условиях работы по МСФО: критерии отнесения материальных активов к основным средствам//Библиотека бухгалтера и предпринимателя 2006 г.-№1 (186)</w:t>
      </w:r>
    </w:p>
    <w:p w:rsidR="006C1885" w:rsidRPr="006C1885" w:rsidRDefault="006C1885" w:rsidP="006C1885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C1885" w:rsidRPr="006C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B1"/>
    <w:rsid w:val="00587607"/>
    <w:rsid w:val="006C1885"/>
    <w:rsid w:val="00A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D8C1"/>
  <w15:chartTrackingRefBased/>
  <w15:docId w15:val="{4473F7D9-778B-4D1F-8C6E-28C60C44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2019-01-10T07:27:00Z</dcterms:created>
  <dcterms:modified xsi:type="dcterms:W3CDTF">2019-01-10T07:30:00Z</dcterms:modified>
</cp:coreProperties>
</file>