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A3" w:rsidRDefault="00DD48A7" w:rsidP="00DD48A7">
      <w:pPr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 w:rsidRPr="00DD48A7">
        <w:rPr>
          <w:rFonts w:ascii="Times New Roman" w:hAnsi="Times New Roman" w:cs="Times New Roman"/>
          <w:sz w:val="28"/>
          <w:szCs w:val="32"/>
        </w:rPr>
        <w:t>Кр_</w:t>
      </w:r>
      <w:r w:rsidRPr="00DD48A7">
        <w:rPr>
          <w:rFonts w:ascii="Times New Roman" w:hAnsi="Times New Roman" w:cs="Times New Roman"/>
          <w:sz w:val="28"/>
          <w:szCs w:val="32"/>
        </w:rPr>
        <w:t>США</w:t>
      </w:r>
      <w:proofErr w:type="spellEnd"/>
      <w:r w:rsidRPr="00DD48A7">
        <w:rPr>
          <w:rFonts w:ascii="Times New Roman" w:hAnsi="Times New Roman" w:cs="Times New Roman"/>
          <w:sz w:val="28"/>
          <w:szCs w:val="32"/>
        </w:rPr>
        <w:t xml:space="preserve"> в геопо</w:t>
      </w:r>
      <w:r>
        <w:rPr>
          <w:rFonts w:ascii="Times New Roman" w:hAnsi="Times New Roman" w:cs="Times New Roman"/>
          <w:sz w:val="28"/>
          <w:szCs w:val="32"/>
        </w:rPr>
        <w:t>литике КНР на современном этапе</w:t>
      </w:r>
    </w:p>
    <w:p w:rsidR="00DD48A7" w:rsidRDefault="00DD48A7" w:rsidP="00DD48A7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Стр_23</w:t>
      </w:r>
    </w:p>
    <w:p w:rsidR="00DD48A7" w:rsidRPr="00DD48A7" w:rsidRDefault="00DD48A7" w:rsidP="00DD48A7">
      <w:pPr>
        <w:rPr>
          <w:rFonts w:ascii="Times New Roman" w:hAnsi="Times New Roman" w:cs="Times New Roman"/>
          <w:sz w:val="28"/>
          <w:szCs w:val="32"/>
        </w:rPr>
      </w:pPr>
      <w:r w:rsidRPr="00DD48A7">
        <w:rPr>
          <w:rFonts w:ascii="Times New Roman" w:hAnsi="Times New Roman" w:cs="Times New Roman"/>
          <w:bCs/>
          <w:sz w:val="28"/>
          <w:szCs w:val="32"/>
        </w:rPr>
        <w:fldChar w:fldCharType="begin"/>
      </w:r>
      <w:r w:rsidRPr="00DD48A7">
        <w:rPr>
          <w:rFonts w:ascii="Times New Roman" w:hAnsi="Times New Roman" w:cs="Times New Roman"/>
          <w:bCs/>
          <w:sz w:val="28"/>
          <w:szCs w:val="32"/>
        </w:rPr>
        <w:instrText xml:space="preserve"> TOC \o "1-3" \h \z \u </w:instrText>
      </w:r>
      <w:r w:rsidRPr="00DD48A7">
        <w:rPr>
          <w:rFonts w:ascii="Times New Roman" w:hAnsi="Times New Roman" w:cs="Times New Roman"/>
          <w:bCs/>
          <w:sz w:val="28"/>
          <w:szCs w:val="32"/>
        </w:rPr>
        <w:fldChar w:fldCharType="separate"/>
      </w:r>
      <w:hyperlink w:anchor="_Toc469088452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Введение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bCs/>
          <w:sz w:val="28"/>
          <w:szCs w:val="32"/>
          <w:u w:val="single"/>
        </w:rPr>
      </w:pPr>
      <w:hyperlink w:anchor="_Toc469088453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1. США и КНР – основные акторы международных отношений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bCs/>
          <w:sz w:val="28"/>
          <w:szCs w:val="32"/>
          <w:u w:val="single"/>
        </w:rPr>
      </w:pPr>
      <w:hyperlink w:anchor="_Toc469088454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1.1 Геополитическая характеристика современного Китая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sz w:val="28"/>
          <w:szCs w:val="32"/>
        </w:rPr>
      </w:pPr>
      <w:hyperlink w:anchor="_Toc469088455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1.2 Китайско-американские  отношения в новой геополитической обстановке</w:t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bCs/>
          <w:sz w:val="28"/>
          <w:szCs w:val="32"/>
          <w:u w:val="single"/>
        </w:rPr>
      </w:pPr>
      <w:hyperlink w:anchor="_Toc469088457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2. Геополитическая стратегия КНР в отношении США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bCs/>
          <w:sz w:val="28"/>
          <w:szCs w:val="32"/>
          <w:u w:val="single"/>
        </w:rPr>
      </w:pPr>
      <w:hyperlink w:anchor="_Toc469088458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2.1 Геополитические интересы Китая в торгово-экономическом взаимодействии с США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bCs/>
          <w:sz w:val="28"/>
          <w:szCs w:val="32"/>
          <w:u w:val="single"/>
        </w:rPr>
      </w:pPr>
      <w:hyperlink w:anchor="_Toc469088459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2.2 Конкуренция Китая и США в военно-политическом плане и в сфере международной интеграции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sz w:val="28"/>
          <w:szCs w:val="32"/>
        </w:rPr>
      </w:pPr>
      <w:hyperlink w:anchor="_Toc469088461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Заключение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Pr="00DD48A7" w:rsidRDefault="00DD48A7" w:rsidP="00DD48A7">
      <w:pPr>
        <w:rPr>
          <w:rFonts w:ascii="Times New Roman" w:hAnsi="Times New Roman" w:cs="Times New Roman"/>
          <w:sz w:val="28"/>
          <w:szCs w:val="32"/>
        </w:rPr>
      </w:pPr>
      <w:hyperlink w:anchor="_Toc469088462" w:history="1">
        <w:r w:rsidRPr="00DD48A7">
          <w:rPr>
            <w:rStyle w:val="a3"/>
            <w:rFonts w:ascii="Times New Roman" w:hAnsi="Times New Roman" w:cs="Times New Roman"/>
            <w:bCs/>
            <w:sz w:val="28"/>
            <w:szCs w:val="32"/>
          </w:rPr>
          <w:t>Список использованной литературы</w:t>
        </w:r>
        <w:r w:rsidRPr="00DD48A7">
          <w:rPr>
            <w:rStyle w:val="a3"/>
            <w:rFonts w:ascii="Times New Roman" w:hAnsi="Times New Roman" w:cs="Times New Roman"/>
            <w:bCs/>
            <w:webHidden/>
            <w:sz w:val="28"/>
            <w:szCs w:val="32"/>
          </w:rPr>
          <w:tab/>
        </w:r>
      </w:hyperlink>
    </w:p>
    <w:p w:rsidR="00DD48A7" w:rsidRDefault="00DD48A7" w:rsidP="00DD48A7">
      <w:pPr>
        <w:rPr>
          <w:rFonts w:ascii="Times New Roman" w:hAnsi="Times New Roman" w:cs="Times New Roman"/>
          <w:sz w:val="28"/>
          <w:szCs w:val="32"/>
        </w:rPr>
      </w:pPr>
      <w:r w:rsidRPr="00DD48A7">
        <w:rPr>
          <w:rFonts w:ascii="Times New Roman" w:hAnsi="Times New Roman" w:cs="Times New Roman"/>
          <w:sz w:val="28"/>
          <w:szCs w:val="32"/>
        </w:rPr>
        <w:fldChar w:fldCharType="end"/>
      </w:r>
    </w:p>
    <w:p w:rsidR="00DD48A7" w:rsidRDefault="00DD48A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DD48A7" w:rsidRPr="00DD48A7" w:rsidRDefault="00DD48A7" w:rsidP="00DD48A7">
      <w:pPr>
        <w:keepNext/>
        <w:spacing w:before="240" w:after="60" w:line="240" w:lineRule="auto"/>
        <w:outlineLvl w:val="0"/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</w:pPr>
      <w:r w:rsidRPr="00DD48A7"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  <w:lastRenderedPageBreak/>
        <w:tab/>
      </w:r>
      <w:bookmarkStart w:id="0" w:name="_Toc469088461"/>
      <w:r w:rsidRPr="00DD48A7"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  <w:t>Заключение</w:t>
      </w:r>
      <w:bookmarkEnd w:id="0"/>
      <w:r w:rsidRPr="00DD48A7"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  <w:t xml:space="preserve"> </w:t>
      </w:r>
    </w:p>
    <w:p w:rsidR="00DD48A7" w:rsidRPr="00DD48A7" w:rsidRDefault="00DD48A7" w:rsidP="00DD48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48A7" w:rsidRPr="00DD48A7" w:rsidRDefault="00DD48A7" w:rsidP="00DD48A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D48A7" w:rsidRPr="00DD48A7" w:rsidRDefault="00DD48A7" w:rsidP="00DD48A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>Одним из ключевых вопросов многополярного миропорядка являются отношения США–Китай. Их направленность и содержание, очевидно, существенно повлияют на глобальные цивилизационные, военно-политические и экономические развития. Между тем, в вопросе о том, какой характер будут носить это отношения, экспертные оценки порой диаметрально противоположны.</w:t>
      </w:r>
    </w:p>
    <w:p w:rsidR="00DD48A7" w:rsidRPr="00DD48A7" w:rsidRDefault="00DD48A7" w:rsidP="00DD48A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проводимых Западом глубинных исследованиях Китая особо подчеркивается специфика и идеологическая гибкость системы ценностей китайцев, являющейся, согласно исследователям, основным залогом национальной безопасности этой державы. Впечатление таково, что в отношениях США–КНР самой важной считается конкуренция в духовной (идеологической) и интеллектуальной сферах. Примечательно, что экспертов некоторых американских исследовательских центров больше всего беспокоит не столько экономический рост Китая, столько то, что в 2040г. показатели научно-технической развитости США и КНР сравняются. Согласно </w:t>
      </w:r>
      <w:proofErr w:type="gramStart"/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>подходам</w:t>
      </w:r>
      <w:proofErr w:type="gramEnd"/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недавно ушедшего из жизни </w:t>
      </w: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>Семюэля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>Хантингтона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DD48A7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противоречия между этими двумя сверхдержавами представляют классический пример цивилизационного</w:t>
      </w:r>
      <w:r w:rsidRPr="00DD48A7">
        <w:rPr>
          <w:rFonts w:ascii="Times New Roman" w:eastAsia="SimSun" w:hAnsi="Times New Roman" w:cs="Times New Roman"/>
          <w:sz w:val="28"/>
          <w:szCs w:val="28"/>
          <w:lang w:eastAsia="zh-CN"/>
        </w:rPr>
        <w:t> конфликта. Однако известно также, что идеологическая конкуренция является одним из важнейших предусловий военных столкновений.</w:t>
      </w:r>
    </w:p>
    <w:p w:rsidR="00DD48A7" w:rsidRDefault="00DD48A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DD48A7" w:rsidRPr="00DD48A7" w:rsidRDefault="00DD48A7" w:rsidP="00DD48A7">
      <w:pPr>
        <w:keepNext/>
        <w:spacing w:before="240" w:after="60" w:line="240" w:lineRule="auto"/>
        <w:outlineLvl w:val="0"/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</w:pPr>
      <w:r w:rsidRPr="00DD48A7"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  <w:lastRenderedPageBreak/>
        <w:tab/>
      </w:r>
      <w:bookmarkStart w:id="1" w:name="_Toc469088462"/>
      <w:r w:rsidRPr="00DD48A7">
        <w:rPr>
          <w:rFonts w:ascii="Times New Roman" w:eastAsia="SimSun" w:hAnsi="Times New Roman" w:cs="Arial"/>
          <w:bCs/>
          <w:caps/>
          <w:kern w:val="32"/>
          <w:sz w:val="28"/>
          <w:szCs w:val="32"/>
          <w:lang w:eastAsia="zh-CN"/>
        </w:rPr>
        <w:t>Список использованной литературы</w:t>
      </w:r>
      <w:bookmarkEnd w:id="1"/>
    </w:p>
    <w:p w:rsidR="00DD48A7" w:rsidRPr="00DD48A7" w:rsidRDefault="00DD48A7" w:rsidP="00DD48A7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D48A7" w:rsidRPr="00DD48A7" w:rsidRDefault="00DD48A7" w:rsidP="00DD4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Economy, E. C. John Kerry on China and the Pivot / E. C. Economy [Electronic resource] // The Diplomat. — 28.02.2013. — Mode of access</w:t>
      </w:r>
      <w:proofErr w:type="gram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:.</w:t>
      </w:r>
      <w:proofErr w:type="gram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— Date of access: 21.06.2015.</w:t>
      </w:r>
    </w:p>
    <w:p w:rsidR="00DD48A7" w:rsidRPr="00DD48A7" w:rsidRDefault="00DD48A7" w:rsidP="00DD4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Ferguson, N. The War of the World. Twentieth Century </w:t>
      </w: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Confl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</w:t>
      </w: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ict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and the Descent of the West / </w:t>
      </w:r>
      <w:smartTag w:uri="urn:schemas-microsoft-com:office:smarttags" w:element="place">
        <w:r w:rsidRPr="00DD48A7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>N. Ferguson</w:t>
        </w:r>
      </w:smartTag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. — N. Y.: Penguin Press, 2006. — XXVI, 880 p.</w:t>
      </w:r>
    </w:p>
    <w:p w:rsidR="00DD48A7" w:rsidRPr="00DD48A7" w:rsidRDefault="00DD48A7" w:rsidP="00DD4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Goldstein, A. China’s Real and Present Danger. Now Is the Time for Washington to Worry / A. Goldstein [Electronic resource] // Foreign Affairs. — 2013. — Vol. 92, N 5. — Mode of access</w:t>
      </w:r>
      <w:proofErr w:type="gram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: .</w:t>
      </w:r>
      <w:proofErr w:type="gram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— Date of access: 17.08.2014.</w:t>
      </w:r>
    </w:p>
    <w:p w:rsidR="00DD48A7" w:rsidRPr="00DD48A7" w:rsidRDefault="00DD48A7" w:rsidP="00DD4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Krepinevich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Jr., A. F. How to Deter </w:t>
      </w:r>
      <w:smartTag w:uri="urn:schemas-microsoft-com:office:smarttags" w:element="place">
        <w:smartTag w:uri="urn:schemas-microsoft-com:office:smarttags" w:element="country-region">
          <w:r w:rsidRPr="00DD48A7">
            <w:rPr>
              <w:rFonts w:ascii="Times New Roman" w:eastAsia="SimSun" w:hAnsi="Times New Roman" w:cs="Times New Roman"/>
              <w:sz w:val="28"/>
              <w:szCs w:val="28"/>
              <w:lang w:val="en-US" w:eastAsia="zh-CN"/>
            </w:rPr>
            <w:t>China</w:t>
          </w:r>
        </w:smartTag>
      </w:smartTag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. The Case for Archipelagic Defense / A. F. </w:t>
      </w: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Krepinevich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Jr. [Electronic resource] // Foreign Affairs. — 2015. — Vol. 94, N 2. — Mode of access</w:t>
      </w:r>
      <w:proofErr w:type="gram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: .</w:t>
      </w:r>
      <w:proofErr w:type="gram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— Date of access: 22.06.2015</w:t>
      </w:r>
    </w:p>
    <w:p w:rsidR="00DD48A7" w:rsidRPr="00DD48A7" w:rsidRDefault="00DD48A7" w:rsidP="00DD48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Shambaugh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, D. </w:t>
      </w:r>
      <w:smartTag w:uri="urn:schemas-microsoft-com:office:smarttags" w:element="place">
        <w:smartTag w:uri="urn:schemas-microsoft-com:office:smarttags" w:element="country-region">
          <w:r w:rsidRPr="00DD48A7">
            <w:rPr>
              <w:rFonts w:ascii="Times New Roman" w:eastAsia="SimSun" w:hAnsi="Times New Roman" w:cs="Times New Roman"/>
              <w:sz w:val="28"/>
              <w:szCs w:val="28"/>
              <w:lang w:val="en-US" w:eastAsia="zh-CN"/>
            </w:rPr>
            <w:t>China</w:t>
          </w:r>
        </w:smartTag>
      </w:smartTag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Goes Global: The Partial Power / D. </w:t>
      </w:r>
      <w:proofErr w:type="spellStart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>Shambaugh</w:t>
      </w:r>
      <w:proofErr w:type="spellEnd"/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. — N. Y.: </w:t>
      </w:r>
      <w:smartTag w:uri="urn:schemas-microsoft-com:office:smarttags" w:element="place">
        <w:smartTag w:uri="urn:schemas-microsoft-com:office:smarttags" w:element="PlaceName">
          <w:r w:rsidRPr="00DD48A7">
            <w:rPr>
              <w:rFonts w:ascii="Times New Roman" w:eastAsia="SimSun" w:hAnsi="Times New Roman" w:cs="Times New Roman"/>
              <w:sz w:val="28"/>
              <w:szCs w:val="28"/>
              <w:lang w:val="en-US" w:eastAsia="zh-CN"/>
            </w:rPr>
            <w:t>Oxford</w:t>
          </w:r>
        </w:smartTag>
        <w:r w:rsidRPr="00DD48A7">
          <w:rPr>
            <w:rFonts w:ascii="Times New Roman" w:eastAsia="SimSun" w:hAnsi="Times New Roman" w:cs="Times New Roman"/>
            <w:sz w:val="28"/>
            <w:szCs w:val="28"/>
            <w:lang w:val="en-US" w:eastAsia="zh-CN"/>
          </w:rPr>
          <w:t xml:space="preserve"> </w:t>
        </w:r>
        <w:smartTag w:uri="urn:schemas-microsoft-com:office:smarttags" w:element="PlaceType">
          <w:r w:rsidRPr="00DD48A7">
            <w:rPr>
              <w:rFonts w:ascii="Times New Roman" w:eastAsia="SimSun" w:hAnsi="Times New Roman" w:cs="Times New Roman"/>
              <w:sz w:val="28"/>
              <w:szCs w:val="28"/>
              <w:lang w:val="en-US" w:eastAsia="zh-CN"/>
            </w:rPr>
            <w:t>University</w:t>
          </w:r>
        </w:smartTag>
      </w:smartTag>
      <w:r w:rsidRPr="00DD48A7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Press, 2013. — 432 p</w:t>
      </w:r>
    </w:p>
    <w:p w:rsidR="00DD48A7" w:rsidRPr="00DD48A7" w:rsidRDefault="00DD48A7" w:rsidP="00DD48A7">
      <w:pPr>
        <w:rPr>
          <w:rFonts w:ascii="Times New Roman" w:hAnsi="Times New Roman" w:cs="Times New Roman"/>
          <w:sz w:val="20"/>
          <w:lang w:val="en-US"/>
        </w:rPr>
      </w:pPr>
      <w:bookmarkStart w:id="2" w:name="_GoBack"/>
      <w:bookmarkEnd w:id="2"/>
    </w:p>
    <w:sectPr w:rsidR="00DD48A7" w:rsidRPr="00DD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423B"/>
    <w:multiLevelType w:val="hybridMultilevel"/>
    <w:tmpl w:val="32CAE09E"/>
    <w:lvl w:ilvl="0" w:tplc="B688FF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B1"/>
    <w:rsid w:val="00193DA3"/>
    <w:rsid w:val="00DD48A7"/>
    <w:rsid w:val="00F7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D0D9715"/>
  <w15:chartTrackingRefBased/>
  <w15:docId w15:val="{26DB5798-6043-4A0E-BA02-823B074F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2019-01-14T11:22:00Z</dcterms:created>
  <dcterms:modified xsi:type="dcterms:W3CDTF">2019-01-14T11:26:00Z</dcterms:modified>
</cp:coreProperties>
</file>