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99" w:rsidRDefault="008644CD" w:rsidP="008644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44CD">
        <w:rPr>
          <w:rFonts w:ascii="Times New Roman" w:hAnsi="Times New Roman" w:cs="Times New Roman"/>
          <w:sz w:val="28"/>
          <w:szCs w:val="28"/>
        </w:rPr>
        <w:t>Кр_Вещные</w:t>
      </w:r>
      <w:proofErr w:type="spellEnd"/>
      <w:r w:rsidRPr="008644CD">
        <w:rPr>
          <w:rFonts w:ascii="Times New Roman" w:hAnsi="Times New Roman" w:cs="Times New Roman"/>
          <w:sz w:val="28"/>
          <w:szCs w:val="28"/>
        </w:rPr>
        <w:t xml:space="preserve"> права в гражданском праве</w:t>
      </w:r>
    </w:p>
    <w:p w:rsidR="008644CD" w:rsidRDefault="008644CD" w:rsidP="00864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Стр_30</w:t>
      </w:r>
    </w:p>
    <w:p w:rsidR="008644CD" w:rsidRPr="008644CD" w:rsidRDefault="008644CD" w:rsidP="008644CD">
      <w:pPr>
        <w:pStyle w:val="1"/>
        <w:tabs>
          <w:tab w:val="right" w:leader="dot" w:pos="9345"/>
        </w:tabs>
        <w:rPr>
          <w:b w:val="0"/>
          <w:bCs w:val="0"/>
          <w:noProof/>
          <w:sz w:val="28"/>
          <w:szCs w:val="28"/>
        </w:rPr>
      </w:pPr>
      <w:hyperlink w:anchor="_Toc476835032" w:history="1">
        <w:r w:rsidRPr="008644CD">
          <w:rPr>
            <w:rStyle w:val="a3"/>
            <w:b w:val="0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8644CD" w:rsidRPr="008644CD" w:rsidRDefault="008644CD" w:rsidP="008644CD">
      <w:pPr>
        <w:pStyle w:val="1"/>
        <w:tabs>
          <w:tab w:val="right" w:leader="dot" w:pos="9345"/>
        </w:tabs>
        <w:rPr>
          <w:b w:val="0"/>
          <w:bCs w:val="0"/>
          <w:noProof/>
          <w:sz w:val="28"/>
          <w:szCs w:val="28"/>
        </w:rPr>
      </w:pPr>
      <w:hyperlink w:anchor="_Toc476835033" w:history="1">
        <w:r w:rsidRPr="008644CD">
          <w:rPr>
            <w:rStyle w:val="a3"/>
            <w:b w:val="0"/>
            <w:noProof/>
            <w:color w:val="auto"/>
            <w:sz w:val="28"/>
            <w:szCs w:val="28"/>
            <w:u w:val="none"/>
          </w:rPr>
          <w:t>1. Теоретические аспекты исследования вещных прав в гражданском законодательстве Республики Казахстан</w:t>
        </w:r>
      </w:hyperlink>
    </w:p>
    <w:p w:rsidR="008644CD" w:rsidRPr="008644CD" w:rsidRDefault="008644CD" w:rsidP="008644CD">
      <w:pPr>
        <w:pStyle w:val="2"/>
        <w:tabs>
          <w:tab w:val="right" w:leader="dot" w:pos="9345"/>
        </w:tabs>
        <w:rPr>
          <w:i w:val="0"/>
          <w:iCs w:val="0"/>
          <w:noProof/>
          <w:sz w:val="28"/>
          <w:szCs w:val="28"/>
        </w:rPr>
      </w:pPr>
      <w:hyperlink w:anchor="_Toc476835034" w:history="1">
        <w:r w:rsidRPr="008644CD">
          <w:rPr>
            <w:rStyle w:val="a3"/>
            <w:i w:val="0"/>
            <w:noProof/>
            <w:color w:val="auto"/>
            <w:sz w:val="28"/>
            <w:szCs w:val="28"/>
            <w:u w:val="none"/>
          </w:rPr>
          <w:t>1.1 Понятие и сущность вещных прав</w:t>
        </w:r>
      </w:hyperlink>
    </w:p>
    <w:p w:rsidR="008644CD" w:rsidRPr="008644CD" w:rsidRDefault="008644CD" w:rsidP="008644CD">
      <w:pPr>
        <w:pStyle w:val="2"/>
        <w:tabs>
          <w:tab w:val="right" w:leader="dot" w:pos="9345"/>
        </w:tabs>
        <w:rPr>
          <w:i w:val="0"/>
          <w:iCs w:val="0"/>
          <w:noProof/>
          <w:sz w:val="28"/>
          <w:szCs w:val="28"/>
        </w:rPr>
      </w:pPr>
      <w:hyperlink w:anchor="_Toc476835035" w:history="1">
        <w:r w:rsidRPr="008644CD">
          <w:rPr>
            <w:rStyle w:val="a3"/>
            <w:i w:val="0"/>
            <w:noProof/>
            <w:color w:val="auto"/>
            <w:sz w:val="28"/>
            <w:szCs w:val="28"/>
            <w:u w:val="none"/>
          </w:rPr>
          <w:t>1.2 Виды вещных прав в соответствии с ГК РК</w:t>
        </w:r>
      </w:hyperlink>
    </w:p>
    <w:p w:rsidR="008644CD" w:rsidRPr="008644CD" w:rsidRDefault="008644CD" w:rsidP="008644CD">
      <w:pPr>
        <w:pStyle w:val="2"/>
        <w:tabs>
          <w:tab w:val="right" w:leader="dot" w:pos="9345"/>
        </w:tabs>
        <w:rPr>
          <w:i w:val="0"/>
          <w:iCs w:val="0"/>
          <w:noProof/>
          <w:sz w:val="28"/>
          <w:szCs w:val="28"/>
        </w:rPr>
      </w:pPr>
      <w:hyperlink w:anchor="_Toc476835036" w:history="1">
        <w:r w:rsidRPr="008644CD">
          <w:rPr>
            <w:rStyle w:val="a3"/>
            <w:i w:val="0"/>
            <w:noProof/>
            <w:color w:val="auto"/>
            <w:sz w:val="28"/>
            <w:szCs w:val="28"/>
            <w:u w:val="none"/>
          </w:rPr>
          <w:t>1.3 Порядок возникновения и прекращения вещных прав</w:t>
        </w:r>
      </w:hyperlink>
    </w:p>
    <w:p w:rsidR="008644CD" w:rsidRPr="008644CD" w:rsidRDefault="008644CD" w:rsidP="008644CD">
      <w:pPr>
        <w:pStyle w:val="1"/>
        <w:tabs>
          <w:tab w:val="right" w:leader="dot" w:pos="9345"/>
        </w:tabs>
        <w:rPr>
          <w:b w:val="0"/>
          <w:bCs w:val="0"/>
          <w:noProof/>
          <w:sz w:val="28"/>
          <w:szCs w:val="28"/>
        </w:rPr>
      </w:pPr>
      <w:hyperlink w:anchor="_Toc476835037" w:history="1">
        <w:r w:rsidRPr="008644CD">
          <w:rPr>
            <w:rStyle w:val="a3"/>
            <w:b w:val="0"/>
            <w:noProof/>
            <w:color w:val="auto"/>
            <w:sz w:val="28"/>
            <w:szCs w:val="28"/>
            <w:u w:val="none"/>
          </w:rPr>
          <w:t>2. Нормативно-правовые аспекты защиты вещных прав</w:t>
        </w:r>
      </w:hyperlink>
    </w:p>
    <w:p w:rsidR="008644CD" w:rsidRPr="008644CD" w:rsidRDefault="008644CD" w:rsidP="008644CD">
      <w:pPr>
        <w:pStyle w:val="2"/>
        <w:tabs>
          <w:tab w:val="right" w:leader="dot" w:pos="9345"/>
        </w:tabs>
        <w:rPr>
          <w:i w:val="0"/>
          <w:iCs w:val="0"/>
          <w:noProof/>
          <w:sz w:val="28"/>
          <w:szCs w:val="28"/>
        </w:rPr>
      </w:pPr>
      <w:hyperlink w:anchor="_Toc476835038" w:history="1">
        <w:r w:rsidRPr="008644CD">
          <w:rPr>
            <w:rStyle w:val="a3"/>
            <w:i w:val="0"/>
            <w:noProof/>
            <w:color w:val="auto"/>
            <w:sz w:val="28"/>
            <w:szCs w:val="28"/>
            <w:u w:val="none"/>
          </w:rPr>
          <w:t>2.1. Общая характеристика защиты прав вещных прав</w:t>
        </w:r>
      </w:hyperlink>
    </w:p>
    <w:p w:rsidR="008644CD" w:rsidRPr="008644CD" w:rsidRDefault="008644CD" w:rsidP="008644CD">
      <w:pPr>
        <w:pStyle w:val="2"/>
        <w:tabs>
          <w:tab w:val="right" w:leader="dot" w:pos="9345"/>
        </w:tabs>
        <w:rPr>
          <w:i w:val="0"/>
          <w:iCs w:val="0"/>
          <w:noProof/>
          <w:sz w:val="28"/>
          <w:szCs w:val="28"/>
        </w:rPr>
      </w:pPr>
      <w:hyperlink w:anchor="_Toc476835039" w:history="1">
        <w:r w:rsidRPr="008644CD">
          <w:rPr>
            <w:rStyle w:val="a3"/>
            <w:i w:val="0"/>
            <w:noProof/>
            <w:color w:val="auto"/>
            <w:sz w:val="28"/>
            <w:szCs w:val="28"/>
            <w:u w:val="none"/>
          </w:rPr>
          <w:t>2.2. Виндикционный иск как способ защиты права собственности</w:t>
        </w:r>
      </w:hyperlink>
    </w:p>
    <w:p w:rsidR="008644CD" w:rsidRPr="008644CD" w:rsidRDefault="008644CD" w:rsidP="008644CD">
      <w:pPr>
        <w:pStyle w:val="2"/>
        <w:tabs>
          <w:tab w:val="right" w:leader="dot" w:pos="9345"/>
        </w:tabs>
        <w:rPr>
          <w:i w:val="0"/>
          <w:iCs w:val="0"/>
          <w:noProof/>
          <w:sz w:val="28"/>
          <w:szCs w:val="28"/>
        </w:rPr>
      </w:pPr>
      <w:hyperlink w:anchor="_Toc476835040" w:history="1">
        <w:r w:rsidRPr="008644CD">
          <w:rPr>
            <w:rStyle w:val="a3"/>
            <w:i w:val="0"/>
            <w:noProof/>
            <w:color w:val="auto"/>
            <w:sz w:val="28"/>
            <w:szCs w:val="28"/>
            <w:u w:val="none"/>
          </w:rPr>
          <w:t>2.3. Признание сделки недействительной в соответствии с ГК РК</w:t>
        </w:r>
      </w:hyperlink>
    </w:p>
    <w:p w:rsidR="008644CD" w:rsidRPr="008644CD" w:rsidRDefault="008644CD" w:rsidP="008644CD">
      <w:pPr>
        <w:pStyle w:val="1"/>
        <w:tabs>
          <w:tab w:val="right" w:leader="dot" w:pos="9345"/>
        </w:tabs>
        <w:rPr>
          <w:b w:val="0"/>
          <w:bCs w:val="0"/>
          <w:noProof/>
          <w:sz w:val="28"/>
          <w:szCs w:val="28"/>
        </w:rPr>
      </w:pPr>
      <w:hyperlink w:anchor="_Toc476835041" w:history="1">
        <w:r w:rsidRPr="008644CD">
          <w:rPr>
            <w:rStyle w:val="a3"/>
            <w:b w:val="0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8644CD" w:rsidRPr="008644CD" w:rsidRDefault="008644CD" w:rsidP="008644CD">
      <w:pPr>
        <w:pStyle w:val="1"/>
        <w:tabs>
          <w:tab w:val="right" w:leader="dot" w:pos="9345"/>
        </w:tabs>
        <w:rPr>
          <w:b w:val="0"/>
          <w:bCs w:val="0"/>
          <w:noProof/>
          <w:sz w:val="28"/>
          <w:szCs w:val="28"/>
        </w:rPr>
      </w:pPr>
      <w:hyperlink w:anchor="_Toc476835042" w:history="1">
        <w:r w:rsidRPr="008644CD">
          <w:rPr>
            <w:rStyle w:val="a3"/>
            <w:b w:val="0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8644CD" w:rsidRDefault="00864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644CD" w:rsidRPr="008644CD" w:rsidRDefault="008644CD" w:rsidP="008644CD">
      <w:pPr>
        <w:keepNext/>
        <w:tabs>
          <w:tab w:val="left" w:pos="540"/>
        </w:tabs>
        <w:spacing w:before="240" w:after="60" w:line="240" w:lineRule="auto"/>
        <w:outlineLvl w:val="0"/>
        <w:rPr>
          <w:rFonts w:ascii="Times New Roman" w:eastAsia="SimSun" w:hAnsi="Times New Roman" w:cs="Arial"/>
          <w:b/>
          <w:bCs/>
          <w:kern w:val="32"/>
          <w:sz w:val="28"/>
          <w:szCs w:val="32"/>
          <w:lang w:eastAsia="zh-CN"/>
        </w:rPr>
      </w:pPr>
      <w:r w:rsidRPr="008644CD">
        <w:rPr>
          <w:rFonts w:ascii="Arial" w:eastAsia="SimSun" w:hAnsi="Arial" w:cs="Arial"/>
          <w:b/>
          <w:bCs/>
          <w:kern w:val="32"/>
          <w:sz w:val="32"/>
          <w:szCs w:val="32"/>
          <w:lang w:eastAsia="zh-CN"/>
        </w:rPr>
        <w:lastRenderedPageBreak/>
        <w:tab/>
      </w:r>
      <w:r w:rsidRPr="008644CD">
        <w:rPr>
          <w:rFonts w:ascii="Times New Roman" w:eastAsia="SimSun" w:hAnsi="Times New Roman" w:cs="Arial"/>
          <w:b/>
          <w:bCs/>
          <w:kern w:val="32"/>
          <w:sz w:val="28"/>
          <w:szCs w:val="32"/>
          <w:lang w:eastAsia="zh-CN"/>
        </w:rPr>
        <w:t>Заключение</w:t>
      </w:r>
    </w:p>
    <w:p w:rsidR="008644CD" w:rsidRPr="008644CD" w:rsidRDefault="008644CD" w:rsidP="008644C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644CD" w:rsidRPr="008644CD" w:rsidRDefault="008644CD" w:rsidP="008644CD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Формально перспективы развития гражданского законодательства Казахстана, как уже было отмечено выше, определены в Концепции правовой политики РК до 2020 года. Они откровенно не радуют, т.к. предполагают стагнацию гражданского права и лишь точечную корректировку отдельных положений кодекса. Однако ситуация может измениться. Здесь есть некий политический подтекст. Ведь Казахстан является весьма интегрированным в правовое, политическое и экономическое сотрудничество на постсоветском пространстве. Сегодня нам важно быть готовым к процессу интеграции в мировое правовое пространство, и своевременно предложить выверенные доктринальные решения либеральных преобразований. </w:t>
      </w:r>
      <w:proofErr w:type="gram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Это</w:t>
      </w:r>
      <w:proofErr w:type="gram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одной стороны.</w:t>
      </w:r>
    </w:p>
    <w:p w:rsidR="008644CD" w:rsidRPr="008644CD" w:rsidRDefault="008644CD" w:rsidP="008644CD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другой – вещное право, как уже было отмечено выше, не исключает, а, наоборот, предполагает национальные особенности того или другого государства в правовом регулировании вещных прав. Неизменным остаться должен лишь ориентир – </w:t>
      </w: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пандектная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система гражданского права континентальной Европы, главные теоретические постулаты, лежащие в ее основе.</w:t>
      </w:r>
    </w:p>
    <w:p w:rsidR="008644CD" w:rsidRDefault="00864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644CD" w:rsidRPr="008644CD" w:rsidRDefault="008644CD" w:rsidP="008644CD">
      <w:pPr>
        <w:keepNext/>
        <w:spacing w:before="240" w:after="60" w:line="240" w:lineRule="auto"/>
        <w:outlineLvl w:val="0"/>
        <w:rPr>
          <w:rFonts w:ascii="Times New Roman" w:eastAsia="SimSun" w:hAnsi="Times New Roman" w:cs="Arial"/>
          <w:b/>
          <w:bCs/>
          <w:kern w:val="32"/>
          <w:sz w:val="28"/>
          <w:szCs w:val="32"/>
          <w:lang w:eastAsia="zh-CN"/>
        </w:rPr>
      </w:pPr>
      <w:r w:rsidRPr="008644CD">
        <w:rPr>
          <w:rFonts w:ascii="Arial" w:eastAsia="SimSun" w:hAnsi="Arial" w:cs="Arial"/>
          <w:b/>
          <w:bCs/>
          <w:kern w:val="32"/>
          <w:sz w:val="32"/>
          <w:szCs w:val="32"/>
          <w:lang w:eastAsia="zh-CN"/>
        </w:rPr>
        <w:lastRenderedPageBreak/>
        <w:tab/>
      </w:r>
      <w:bookmarkStart w:id="0" w:name="_Toc476835042"/>
      <w:r w:rsidRPr="008644CD">
        <w:rPr>
          <w:rFonts w:ascii="Times New Roman" w:eastAsia="SimSun" w:hAnsi="Times New Roman" w:cs="Arial"/>
          <w:b/>
          <w:bCs/>
          <w:kern w:val="32"/>
          <w:sz w:val="28"/>
          <w:szCs w:val="32"/>
          <w:lang w:eastAsia="zh-CN"/>
        </w:rPr>
        <w:t>Список литературы</w:t>
      </w:r>
      <w:bookmarkEnd w:id="0"/>
    </w:p>
    <w:p w:rsidR="008644CD" w:rsidRPr="008644CD" w:rsidRDefault="008644CD" w:rsidP="008644C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644CD" w:rsidRPr="008644CD" w:rsidRDefault="008644CD" w:rsidP="00864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Вещные права в РК. Электронный ресурс: uchebnik.kz/</w:t>
      </w: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veshnye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prava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-v-</w:t>
      </w: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respublike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kazahstan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.,</w:t>
      </w:r>
    </w:p>
    <w:p w:rsidR="008644CD" w:rsidRPr="008644CD" w:rsidRDefault="008644CD" w:rsidP="00864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Ахметьянова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, З. А. Вещное право [Текст</w:t>
      </w:r>
      <w:proofErr w:type="gram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] :</w:t>
      </w:r>
      <w:proofErr w:type="gram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учебник / З. А. </w:t>
      </w: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Ахметьянова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. — М.: Статут, 2011. — 359 с.</w:t>
      </w:r>
    </w:p>
    <w:p w:rsidR="008644CD" w:rsidRPr="008644CD" w:rsidRDefault="008644CD" w:rsidP="00864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Российское гражданское право: Учебник: В 2 т. Т. II: Обязательственное право / Отв. ред. Е.А. Суханов. – 2-е изд., стереотип. М.: Статут, 2011. - 1208 </w:t>
      </w: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стр</w:t>
      </w:r>
      <w:proofErr w:type="spellEnd"/>
    </w:p>
    <w:p w:rsidR="008644CD" w:rsidRPr="008644CD" w:rsidRDefault="008644CD" w:rsidP="00864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Нерсесянц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В.С. Общая теория права и государства: Учебник для вузов. - М.: Норма, 2010. - С. 70.</w:t>
      </w:r>
    </w:p>
    <w:p w:rsidR="008644CD" w:rsidRPr="008644CD" w:rsidRDefault="008644CD" w:rsidP="00864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>Шершеневич</w:t>
      </w:r>
      <w:proofErr w:type="spellEnd"/>
      <w:r w:rsidRPr="008644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Г.Ф. Учебник гражданского права. - М., 1995. - 610 с.</w:t>
      </w:r>
    </w:p>
    <w:p w:rsidR="008644CD" w:rsidRPr="008644CD" w:rsidRDefault="008644CD" w:rsidP="008644CD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644CD" w:rsidRPr="0086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7C1"/>
    <w:multiLevelType w:val="hybridMultilevel"/>
    <w:tmpl w:val="D5E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BA"/>
    <w:rsid w:val="00062FBA"/>
    <w:rsid w:val="00605599"/>
    <w:rsid w:val="0086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6DF0"/>
  <w15:chartTrackingRefBased/>
  <w15:docId w15:val="{D42080E7-551B-4E57-985E-C8CC9233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8644CD"/>
    <w:pPr>
      <w:spacing w:before="24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2">
    <w:name w:val="toc 2"/>
    <w:basedOn w:val="a"/>
    <w:next w:val="a"/>
    <w:autoRedefine/>
    <w:semiHidden/>
    <w:rsid w:val="008644CD"/>
    <w:pPr>
      <w:spacing w:before="120" w:after="0" w:line="240" w:lineRule="auto"/>
      <w:ind w:left="240"/>
    </w:pPr>
    <w:rPr>
      <w:rFonts w:ascii="Times New Roman" w:eastAsia="SimSun" w:hAnsi="Times New Roman" w:cs="Times New Roman"/>
      <w:i/>
      <w:iCs/>
      <w:sz w:val="20"/>
      <w:szCs w:val="20"/>
      <w:lang w:eastAsia="zh-CN"/>
    </w:rPr>
  </w:style>
  <w:style w:type="character" w:styleId="a3">
    <w:name w:val="Hyperlink"/>
    <w:rsid w:val="0086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2019-01-16T06:31:00Z</dcterms:created>
  <dcterms:modified xsi:type="dcterms:W3CDTF">2019-01-16T06:33:00Z</dcterms:modified>
</cp:coreProperties>
</file>