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6BD" w:rsidRDefault="007F66BD" w:rsidP="007F66B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>Кр_</w:t>
      </w:r>
      <w:r w:rsidRPr="001A7E77">
        <w:rPr>
          <w:rFonts w:ascii="Times New Roman" w:eastAsia="Times New Roman" w:hAnsi="Times New Roman" w:cs="Times New Roman"/>
          <w:sz w:val="32"/>
          <w:szCs w:val="28"/>
          <w:lang w:eastAsia="ru-RU"/>
        </w:rPr>
        <w:t>Экономическая</w:t>
      </w:r>
      <w:proofErr w:type="spellEnd"/>
      <w:r w:rsidRPr="001A7E77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оценка банкротства предприятия </w:t>
      </w:r>
    </w:p>
    <w:p w:rsidR="007F66BD" w:rsidRDefault="007F66BD" w:rsidP="007F66B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>Стр_36</w:t>
      </w:r>
    </w:p>
    <w:p w:rsidR="007F66BD" w:rsidRPr="007F66BD" w:rsidRDefault="007F66BD" w:rsidP="007F66BD">
      <w:pPr>
        <w:pStyle w:val="11"/>
        <w:tabs>
          <w:tab w:val="left" w:pos="142"/>
          <w:tab w:val="right" w:leader="dot" w:pos="9628"/>
        </w:tabs>
        <w:spacing w:after="0" w:line="360" w:lineRule="auto"/>
        <w:ind w:right="454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25177056" w:history="1">
        <w:r w:rsidRPr="007F66BD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Введение</w:t>
        </w:r>
      </w:hyperlink>
    </w:p>
    <w:p w:rsidR="007F66BD" w:rsidRPr="007F66BD" w:rsidRDefault="007F66BD" w:rsidP="007F66BD">
      <w:pPr>
        <w:pStyle w:val="11"/>
        <w:tabs>
          <w:tab w:val="left" w:pos="142"/>
          <w:tab w:val="right" w:leader="dot" w:pos="9628"/>
        </w:tabs>
        <w:spacing w:after="0" w:line="360" w:lineRule="auto"/>
        <w:ind w:right="454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25177057" w:history="1">
        <w:r w:rsidRPr="007F66BD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1 Теоретические основы экономической оценки банкротства предприятий</w:t>
        </w:r>
      </w:hyperlink>
    </w:p>
    <w:p w:rsidR="007F66BD" w:rsidRPr="007F66BD" w:rsidRDefault="007F66BD" w:rsidP="007F66BD">
      <w:pPr>
        <w:pStyle w:val="2"/>
        <w:tabs>
          <w:tab w:val="left" w:pos="142"/>
          <w:tab w:val="right" w:leader="dot" w:pos="9628"/>
        </w:tabs>
        <w:spacing w:after="0" w:line="360" w:lineRule="auto"/>
        <w:ind w:left="0" w:right="454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25177058" w:history="1">
        <w:r w:rsidRPr="007F66BD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1.1 Сущность несостоятельности, виды, последствия и причины банкротства</w:t>
        </w:r>
      </w:hyperlink>
    </w:p>
    <w:p w:rsidR="007F66BD" w:rsidRPr="007F66BD" w:rsidRDefault="007F66BD" w:rsidP="007F66BD">
      <w:pPr>
        <w:pStyle w:val="2"/>
        <w:tabs>
          <w:tab w:val="left" w:pos="142"/>
          <w:tab w:val="right" w:leader="dot" w:pos="9628"/>
        </w:tabs>
        <w:spacing w:after="0" w:line="360" w:lineRule="auto"/>
        <w:ind w:left="0" w:right="454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25177059" w:history="1">
        <w:r w:rsidRPr="007F66BD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1.2 Методы диагностики вероятности банкротства</w:t>
        </w:r>
      </w:hyperlink>
    </w:p>
    <w:p w:rsidR="007F66BD" w:rsidRPr="007F66BD" w:rsidRDefault="007F66BD" w:rsidP="007F66BD">
      <w:pPr>
        <w:pStyle w:val="11"/>
        <w:tabs>
          <w:tab w:val="left" w:pos="142"/>
          <w:tab w:val="right" w:leader="dot" w:pos="9628"/>
        </w:tabs>
        <w:spacing w:after="0" w:line="360" w:lineRule="auto"/>
        <w:ind w:right="454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25177060" w:history="1">
        <w:r w:rsidRPr="007F66BD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 xml:space="preserve">2 Экономическая оценка деятельности предприятия </w:t>
        </w:r>
      </w:hyperlink>
    </w:p>
    <w:p w:rsidR="007F66BD" w:rsidRPr="007F66BD" w:rsidRDefault="007F66BD" w:rsidP="007F66BD">
      <w:pPr>
        <w:pStyle w:val="2"/>
        <w:tabs>
          <w:tab w:val="left" w:pos="142"/>
          <w:tab w:val="right" w:leader="dot" w:pos="9628"/>
        </w:tabs>
        <w:spacing w:after="0" w:line="360" w:lineRule="auto"/>
        <w:ind w:left="0" w:right="454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25177061" w:history="1">
        <w:r w:rsidRPr="007F66BD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2.1 Анализ бухгалтерского баланса построения прогноза деятельности предприятия в условиях финансовой несостоятельности</w:t>
        </w:r>
      </w:hyperlink>
    </w:p>
    <w:p w:rsidR="007F66BD" w:rsidRPr="007F66BD" w:rsidRDefault="007F66BD" w:rsidP="007F66BD">
      <w:pPr>
        <w:pStyle w:val="2"/>
        <w:tabs>
          <w:tab w:val="left" w:pos="142"/>
          <w:tab w:val="right" w:leader="dot" w:pos="9628"/>
        </w:tabs>
        <w:spacing w:after="0" w:line="360" w:lineRule="auto"/>
        <w:ind w:left="0" w:right="454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25177062" w:history="1">
        <w:r w:rsidRPr="007F66BD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2.2 Анализ ликвидности и рентабельности предприятия</w:t>
        </w:r>
      </w:hyperlink>
    </w:p>
    <w:p w:rsidR="007F66BD" w:rsidRPr="007F66BD" w:rsidRDefault="007F66BD" w:rsidP="007F66BD">
      <w:pPr>
        <w:pStyle w:val="2"/>
        <w:tabs>
          <w:tab w:val="left" w:pos="142"/>
          <w:tab w:val="right" w:leader="dot" w:pos="9628"/>
        </w:tabs>
        <w:spacing w:after="0" w:line="360" w:lineRule="auto"/>
        <w:ind w:left="0" w:right="454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25177063" w:history="1">
        <w:r w:rsidRPr="007F66BD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2.3 Прогнозирование банкротства (несостоятельности) предприятия</w:t>
        </w:r>
      </w:hyperlink>
    </w:p>
    <w:p w:rsidR="007F66BD" w:rsidRPr="007F66BD" w:rsidRDefault="007F66BD" w:rsidP="007F66BD">
      <w:pPr>
        <w:pStyle w:val="11"/>
        <w:tabs>
          <w:tab w:val="left" w:pos="142"/>
          <w:tab w:val="right" w:leader="dot" w:pos="9628"/>
        </w:tabs>
        <w:spacing w:after="0" w:line="360" w:lineRule="auto"/>
        <w:ind w:right="454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25177064" w:history="1">
        <w:r w:rsidRPr="007F66BD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 xml:space="preserve">3 Разработка рекомендаций по стабилизации финансового состояния </w:t>
        </w:r>
      </w:hyperlink>
    </w:p>
    <w:p w:rsidR="007F66BD" w:rsidRPr="007F66BD" w:rsidRDefault="007F66BD" w:rsidP="007F66BD">
      <w:pPr>
        <w:pStyle w:val="11"/>
        <w:tabs>
          <w:tab w:val="left" w:pos="142"/>
          <w:tab w:val="right" w:leader="dot" w:pos="9628"/>
        </w:tabs>
        <w:spacing w:after="0" w:line="360" w:lineRule="auto"/>
        <w:ind w:right="454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25177065" w:history="1">
        <w:r w:rsidRPr="007F66BD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Заключение</w:t>
        </w:r>
      </w:hyperlink>
    </w:p>
    <w:p w:rsidR="007F66BD" w:rsidRDefault="007F66BD" w:rsidP="007F66BD">
      <w:pPr>
        <w:pStyle w:val="11"/>
        <w:tabs>
          <w:tab w:val="left" w:pos="142"/>
          <w:tab w:val="right" w:leader="dot" w:pos="9628"/>
        </w:tabs>
        <w:spacing w:after="0" w:line="360" w:lineRule="auto"/>
        <w:ind w:right="454"/>
        <w:rPr>
          <w:rFonts w:ascii="Times New Roman" w:hAnsi="Times New Roman" w:cs="Times New Roman"/>
          <w:noProof/>
          <w:sz w:val="28"/>
          <w:szCs w:val="28"/>
        </w:rPr>
      </w:pPr>
      <w:hyperlink w:anchor="_Toc25177066" w:history="1">
        <w:r w:rsidRPr="007F66BD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Список использованных источников</w:t>
        </w:r>
      </w:hyperlink>
    </w:p>
    <w:p w:rsidR="007F66BD" w:rsidRDefault="007F66BD" w:rsidP="007F66BD">
      <w:r>
        <w:br w:type="page"/>
      </w:r>
    </w:p>
    <w:p w:rsidR="007F66BD" w:rsidRPr="00B97735" w:rsidRDefault="007F66BD" w:rsidP="007F66BD">
      <w:pPr>
        <w:pStyle w:val="1"/>
      </w:pPr>
      <w:bookmarkStart w:id="0" w:name="_Toc25177065"/>
      <w:r w:rsidRPr="00B97735">
        <w:lastRenderedPageBreak/>
        <w:t>Заключение</w:t>
      </w:r>
      <w:bookmarkEnd w:id="0"/>
    </w:p>
    <w:p w:rsidR="007F66BD" w:rsidRDefault="007F66BD" w:rsidP="007F66BD">
      <w:pPr>
        <w:pStyle w:val="a4"/>
        <w:widowControl w:val="0"/>
        <w:tabs>
          <w:tab w:val="left" w:pos="858"/>
        </w:tabs>
        <w:spacing w:after="0" w:line="36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66BD" w:rsidRPr="00262CC1" w:rsidRDefault="007F66BD" w:rsidP="007F66BD">
      <w:pPr>
        <w:pStyle w:val="a4"/>
        <w:widowControl w:val="0"/>
        <w:tabs>
          <w:tab w:val="left" w:pos="858"/>
        </w:tabs>
        <w:spacing w:after="0" w:line="36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2CC1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Проведенное исследование позволило сделать следующие выводы:</w:t>
      </w:r>
    </w:p>
    <w:p w:rsidR="007F66BD" w:rsidRDefault="007F66BD" w:rsidP="007F66BD">
      <w:pPr>
        <w:rPr>
          <w:rFonts w:ascii="Times New Roman" w:hAnsi="Times New Roman" w:cs="Times New Roman"/>
          <w:sz w:val="28"/>
          <w:szCs w:val="28"/>
        </w:rPr>
      </w:pPr>
      <w:r w:rsidRPr="00262C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Проведенная оценка литературных источников показала, что проблема неплатежеспособности, несостоятельности и банкротства должника, не исполняющего свои обязательства, - одна из наиболее актуальных проблем рыночной экономики. </w:t>
      </w:r>
      <w:r w:rsidRPr="00262CC1">
        <w:rPr>
          <w:rFonts w:ascii="Times New Roman" w:hAnsi="Times New Roman" w:cs="Times New Roman"/>
          <w:sz w:val="28"/>
          <w:szCs w:val="28"/>
        </w:rPr>
        <w:t>Несостоятельность является качественной характеристикой неэффективности бизнеса, внешней стороной которой выступает неплатежеспособность в виде неспособности должника выполнить свои обязательства и удовлетворить требования кредиторов на какую-то определенную дату. Несостоятельное положение предприятия может закончиться как банкротством, так и его оздоровлением (санацией).</w:t>
      </w:r>
    </w:p>
    <w:p w:rsidR="007F66BD" w:rsidRDefault="007F66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F66BD" w:rsidRPr="003D6C6F" w:rsidRDefault="007F66BD" w:rsidP="007F66BD">
      <w:pPr>
        <w:pStyle w:val="1"/>
      </w:pPr>
      <w:bookmarkStart w:id="1" w:name="_Toc25177066"/>
      <w:r w:rsidRPr="003D6C6F">
        <w:lastRenderedPageBreak/>
        <w:t>Список использованных источников</w:t>
      </w:r>
      <w:bookmarkEnd w:id="1"/>
    </w:p>
    <w:p w:rsidR="007F66BD" w:rsidRDefault="007F66BD" w:rsidP="007F66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66BD" w:rsidRPr="005316E2" w:rsidRDefault="007F66BD" w:rsidP="007F66BD">
      <w:pPr>
        <w:pStyle w:val="a6"/>
        <w:widowControl w:val="0"/>
        <w:numPr>
          <w:ilvl w:val="0"/>
          <w:numId w:val="1"/>
        </w:numPr>
        <w:tabs>
          <w:tab w:val="left" w:pos="567"/>
          <w:tab w:val="left" w:pos="1134"/>
        </w:tabs>
        <w:spacing w:after="0" w:line="360" w:lineRule="auto"/>
        <w:ind w:left="0" w:firstLine="633"/>
        <w:jc w:val="both"/>
        <w:rPr>
          <w:rFonts w:ascii="Times New Roman" w:hAnsi="Times New Roman" w:cs="Times New Roman"/>
          <w:sz w:val="28"/>
          <w:szCs w:val="28"/>
        </w:rPr>
      </w:pPr>
      <w:r w:rsidRPr="005316E2">
        <w:rPr>
          <w:rFonts w:ascii="Times New Roman" w:hAnsi="Times New Roman" w:cs="Times New Roman"/>
          <w:sz w:val="28"/>
          <w:szCs w:val="28"/>
        </w:rPr>
        <w:t>Закон РК от 7 марта 2014 года № 176-V «О реабилитации и банкротстве» (с </w:t>
      </w:r>
      <w:bookmarkStart w:id="2" w:name="SUB1003909106"/>
      <w:r w:rsidRPr="005316E2">
        <w:rPr>
          <w:rFonts w:ascii="Times New Roman" w:hAnsi="Times New Roman" w:cs="Times New Roman"/>
          <w:sz w:val="28"/>
          <w:szCs w:val="28"/>
        </w:rPr>
        <w:fldChar w:fldCharType="begin"/>
      </w:r>
      <w:r w:rsidRPr="005316E2">
        <w:rPr>
          <w:rFonts w:ascii="Times New Roman" w:hAnsi="Times New Roman" w:cs="Times New Roman"/>
          <w:sz w:val="28"/>
          <w:szCs w:val="28"/>
        </w:rPr>
        <w:instrText xml:space="preserve"> HYPERLINK "https://online.zakon.kz/document/?doc_id=31519058" \o "Закон Республики Казахстан от 7 марта 2014 года № 176-V \«О реабилитации и банкротстве\» (с изменениями и дополнениями по состоянию на 02.04.2019 г.)" \t "_parent" </w:instrText>
      </w:r>
      <w:r w:rsidRPr="005316E2">
        <w:rPr>
          <w:rFonts w:ascii="Times New Roman" w:hAnsi="Times New Roman" w:cs="Times New Roman"/>
          <w:sz w:val="28"/>
          <w:szCs w:val="28"/>
        </w:rPr>
        <w:fldChar w:fldCharType="separate"/>
      </w:r>
      <w:r w:rsidRPr="005316E2">
        <w:rPr>
          <w:rFonts w:ascii="Times New Roman" w:hAnsi="Times New Roman" w:cs="Times New Roman"/>
          <w:sz w:val="28"/>
          <w:szCs w:val="28"/>
        </w:rPr>
        <w:t>изменениями и дополнениями</w:t>
      </w:r>
      <w:r w:rsidRPr="005316E2">
        <w:rPr>
          <w:rFonts w:ascii="Times New Roman" w:hAnsi="Times New Roman" w:cs="Times New Roman"/>
          <w:sz w:val="28"/>
          <w:szCs w:val="28"/>
        </w:rPr>
        <w:fldChar w:fldCharType="end"/>
      </w:r>
      <w:bookmarkEnd w:id="2"/>
      <w:r w:rsidRPr="005316E2">
        <w:rPr>
          <w:rFonts w:ascii="Times New Roman" w:hAnsi="Times New Roman" w:cs="Times New Roman"/>
          <w:sz w:val="28"/>
          <w:szCs w:val="28"/>
        </w:rPr>
        <w:t> по состоянию на 02.04.2019 г.)</w:t>
      </w:r>
    </w:p>
    <w:p w:rsidR="007F66BD" w:rsidRPr="00AA090A" w:rsidRDefault="007F66BD" w:rsidP="007F66BD">
      <w:pPr>
        <w:pStyle w:val="a6"/>
        <w:widowControl w:val="0"/>
        <w:numPr>
          <w:ilvl w:val="0"/>
          <w:numId w:val="1"/>
        </w:numPr>
        <w:tabs>
          <w:tab w:val="left" w:pos="567"/>
          <w:tab w:val="left" w:pos="1134"/>
        </w:tabs>
        <w:spacing w:after="0" w:line="360" w:lineRule="auto"/>
        <w:ind w:left="0" w:firstLine="633"/>
        <w:jc w:val="both"/>
        <w:rPr>
          <w:rFonts w:ascii="Times New Roman" w:hAnsi="Times New Roman" w:cs="Times New Roman"/>
          <w:sz w:val="28"/>
          <w:szCs w:val="28"/>
        </w:rPr>
      </w:pPr>
      <w:r w:rsidRPr="00AA090A">
        <w:rPr>
          <w:rFonts w:ascii="Times New Roman" w:hAnsi="Times New Roman" w:cs="Times New Roman"/>
          <w:color w:val="000000"/>
          <w:sz w:val="28"/>
          <w:szCs w:val="28"/>
        </w:rPr>
        <w:t>Алексеева М.М. «Планирование деятельности фирмы» – М.: Финансы и статистика, 2012.</w:t>
      </w:r>
    </w:p>
    <w:p w:rsidR="007F66BD" w:rsidRPr="00AA090A" w:rsidRDefault="007F66BD" w:rsidP="007F66BD">
      <w:pPr>
        <w:pStyle w:val="a6"/>
        <w:widowControl w:val="0"/>
        <w:numPr>
          <w:ilvl w:val="0"/>
          <w:numId w:val="1"/>
        </w:numPr>
        <w:tabs>
          <w:tab w:val="left" w:pos="567"/>
          <w:tab w:val="left" w:pos="1134"/>
        </w:tabs>
        <w:spacing w:after="0" w:line="360" w:lineRule="auto"/>
        <w:ind w:left="0" w:firstLine="63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090A">
        <w:rPr>
          <w:rFonts w:ascii="Times New Roman" w:hAnsi="Times New Roman" w:cs="Times New Roman"/>
          <w:color w:val="000000"/>
          <w:sz w:val="28"/>
          <w:szCs w:val="28"/>
        </w:rPr>
        <w:t>Ансофф</w:t>
      </w:r>
      <w:proofErr w:type="spellEnd"/>
      <w:r w:rsidRPr="00AA090A">
        <w:rPr>
          <w:rFonts w:ascii="Times New Roman" w:hAnsi="Times New Roman" w:cs="Times New Roman"/>
          <w:color w:val="000000"/>
          <w:sz w:val="28"/>
          <w:szCs w:val="28"/>
        </w:rPr>
        <w:t xml:space="preserve"> И. Стратегическое управление. пер. с англ. - М.: Экономика, 2012. - 358 с.</w:t>
      </w:r>
    </w:p>
    <w:p w:rsidR="007F66BD" w:rsidRPr="00AA090A" w:rsidRDefault="007F66BD" w:rsidP="007F66BD">
      <w:pPr>
        <w:pStyle w:val="a6"/>
        <w:widowControl w:val="0"/>
        <w:numPr>
          <w:ilvl w:val="0"/>
          <w:numId w:val="1"/>
        </w:numPr>
        <w:tabs>
          <w:tab w:val="left" w:pos="567"/>
          <w:tab w:val="left" w:pos="1134"/>
        </w:tabs>
        <w:spacing w:after="0" w:line="360" w:lineRule="auto"/>
        <w:ind w:left="0" w:firstLine="633"/>
        <w:jc w:val="both"/>
        <w:rPr>
          <w:rFonts w:ascii="Times New Roman" w:hAnsi="Times New Roman" w:cs="Times New Roman"/>
          <w:sz w:val="28"/>
          <w:szCs w:val="28"/>
        </w:rPr>
      </w:pPr>
      <w:r w:rsidRPr="00AA090A">
        <w:rPr>
          <w:rFonts w:ascii="Times New Roman" w:hAnsi="Times New Roman" w:cs="Times New Roman"/>
          <w:color w:val="000000"/>
          <w:sz w:val="28"/>
          <w:szCs w:val="28"/>
        </w:rPr>
        <w:t xml:space="preserve">Все о методах финансового анализа: учеб. </w:t>
      </w:r>
      <w:r w:rsidRPr="00AA090A">
        <w:rPr>
          <w:rFonts w:ascii="Times New Roman" w:hAnsi="Times New Roman" w:cs="Times New Roman"/>
          <w:sz w:val="28"/>
          <w:szCs w:val="28"/>
        </w:rPr>
        <w:t>п</w:t>
      </w:r>
      <w:r w:rsidRPr="00AA090A">
        <w:rPr>
          <w:rFonts w:ascii="Times New Roman" w:hAnsi="Times New Roman" w:cs="Times New Roman"/>
          <w:color w:val="000000"/>
          <w:sz w:val="28"/>
          <w:szCs w:val="28"/>
        </w:rPr>
        <w:t xml:space="preserve">особие / под ред. Т.П. </w:t>
      </w:r>
      <w:proofErr w:type="spellStart"/>
      <w:r w:rsidRPr="00AA090A">
        <w:rPr>
          <w:rFonts w:ascii="Times New Roman" w:hAnsi="Times New Roman" w:cs="Times New Roman"/>
          <w:color w:val="000000"/>
          <w:sz w:val="28"/>
          <w:szCs w:val="28"/>
        </w:rPr>
        <w:t>Беᴫиковой</w:t>
      </w:r>
      <w:proofErr w:type="spellEnd"/>
      <w:r w:rsidRPr="00AA090A">
        <w:rPr>
          <w:rFonts w:ascii="Times New Roman" w:hAnsi="Times New Roman" w:cs="Times New Roman"/>
          <w:color w:val="000000"/>
          <w:sz w:val="28"/>
          <w:szCs w:val="28"/>
        </w:rPr>
        <w:t xml:space="preserve">, JI.H. Минаевой — </w:t>
      </w:r>
      <w:proofErr w:type="spellStart"/>
      <w:r w:rsidRPr="00AA090A">
        <w:rPr>
          <w:rFonts w:ascii="Times New Roman" w:hAnsi="Times New Roman" w:cs="Times New Roman"/>
          <w:color w:val="000000"/>
          <w:sz w:val="28"/>
          <w:szCs w:val="28"/>
        </w:rPr>
        <w:t>Спб</w:t>
      </w:r>
      <w:proofErr w:type="spellEnd"/>
      <w:r w:rsidRPr="00AA090A">
        <w:rPr>
          <w:rFonts w:ascii="Times New Roman" w:hAnsi="Times New Roman" w:cs="Times New Roman"/>
          <w:color w:val="000000"/>
          <w:sz w:val="28"/>
          <w:szCs w:val="28"/>
        </w:rPr>
        <w:t xml:space="preserve">.: </w:t>
      </w:r>
      <w:proofErr w:type="spellStart"/>
      <w:r w:rsidRPr="00AA090A">
        <w:rPr>
          <w:rFonts w:ascii="Times New Roman" w:hAnsi="Times New Roman" w:cs="Times New Roman"/>
          <w:color w:val="000000"/>
          <w:sz w:val="28"/>
          <w:szCs w:val="28"/>
        </w:rPr>
        <w:t>питер</w:t>
      </w:r>
      <w:proofErr w:type="spellEnd"/>
      <w:r w:rsidRPr="00AA090A">
        <w:rPr>
          <w:rFonts w:ascii="Times New Roman" w:hAnsi="Times New Roman" w:cs="Times New Roman"/>
          <w:color w:val="000000"/>
          <w:sz w:val="28"/>
          <w:szCs w:val="28"/>
        </w:rPr>
        <w:t>, 2010.</w:t>
      </w:r>
    </w:p>
    <w:p w:rsidR="007F66BD" w:rsidRPr="00AA090A" w:rsidRDefault="007F66BD" w:rsidP="007F66BD">
      <w:pPr>
        <w:pStyle w:val="a6"/>
        <w:widowControl w:val="0"/>
        <w:numPr>
          <w:ilvl w:val="0"/>
          <w:numId w:val="1"/>
        </w:numPr>
        <w:tabs>
          <w:tab w:val="left" w:pos="567"/>
          <w:tab w:val="left" w:pos="1134"/>
        </w:tabs>
        <w:spacing w:after="0" w:line="360" w:lineRule="auto"/>
        <w:ind w:left="0" w:firstLine="633"/>
        <w:jc w:val="both"/>
        <w:rPr>
          <w:rFonts w:ascii="Times New Roman" w:hAnsi="Times New Roman" w:cs="Times New Roman"/>
          <w:sz w:val="28"/>
          <w:szCs w:val="28"/>
        </w:rPr>
      </w:pPr>
      <w:r w:rsidRPr="00AA090A">
        <w:rPr>
          <w:rFonts w:ascii="Times New Roman" w:hAnsi="Times New Roman" w:cs="Times New Roman"/>
          <w:sz w:val="28"/>
          <w:szCs w:val="28"/>
        </w:rPr>
        <w:t>Гиляровская Л.Т. Комплексный экономический ана</w:t>
      </w:r>
      <w:r w:rsidRPr="00AA090A">
        <w:rPr>
          <w:rFonts w:ascii="Times New Roman" w:hAnsi="Times New Roman" w:cs="Times New Roman"/>
          <w:sz w:val="28"/>
          <w:szCs w:val="28"/>
        </w:rPr>
        <w:softHyphen/>
        <w:t>лиз хозяйственной деятельности: учебник/Л.Т. Гиляровская. - М.: Проспект, 2015.</w:t>
      </w:r>
    </w:p>
    <w:p w:rsidR="007F66BD" w:rsidRPr="007F66BD" w:rsidRDefault="007F66BD" w:rsidP="007F66BD">
      <w:bookmarkStart w:id="3" w:name="_GoBack"/>
      <w:bookmarkEnd w:id="3"/>
    </w:p>
    <w:p w:rsidR="007F66BD" w:rsidRPr="001A7E77" w:rsidRDefault="007F66BD" w:rsidP="007F66BD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3F6126" w:rsidRDefault="003F6126"/>
    <w:sectPr w:rsidR="003F61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0E7429"/>
    <w:multiLevelType w:val="hybridMultilevel"/>
    <w:tmpl w:val="34A029BC"/>
    <w:lvl w:ilvl="0" w:tplc="7E004EE8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EA3"/>
    <w:rsid w:val="003F6126"/>
    <w:rsid w:val="004A5EA3"/>
    <w:rsid w:val="007F6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E0F36"/>
  <w15:chartTrackingRefBased/>
  <w15:docId w15:val="{19A2D358-60A9-44F8-8141-1BA269860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6BD"/>
  </w:style>
  <w:style w:type="paragraph" w:styleId="1">
    <w:name w:val="heading 1"/>
    <w:basedOn w:val="a"/>
    <w:next w:val="a"/>
    <w:link w:val="10"/>
    <w:uiPriority w:val="9"/>
    <w:qFormat/>
    <w:rsid w:val="007F66BD"/>
    <w:pPr>
      <w:keepNext/>
      <w:keepLines/>
      <w:spacing w:after="0" w:line="360" w:lineRule="auto"/>
      <w:jc w:val="center"/>
      <w:outlineLvl w:val="0"/>
    </w:pPr>
    <w:rPr>
      <w:rFonts w:ascii="Times New Roman" w:eastAsiaTheme="majorEastAsia" w:hAnsi="Times New Roman" w:cstheme="majorBidi"/>
      <w:color w:val="000000" w:themeColor="text1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uiPriority w:val="39"/>
    <w:unhideWhenUsed/>
    <w:rsid w:val="007F66BD"/>
    <w:pPr>
      <w:spacing w:after="100"/>
    </w:pPr>
  </w:style>
  <w:style w:type="paragraph" w:styleId="2">
    <w:name w:val="toc 2"/>
    <w:basedOn w:val="a"/>
    <w:next w:val="a"/>
    <w:autoRedefine/>
    <w:uiPriority w:val="39"/>
    <w:unhideWhenUsed/>
    <w:rsid w:val="007F66BD"/>
    <w:pPr>
      <w:spacing w:after="100"/>
      <w:ind w:left="220"/>
    </w:pPr>
  </w:style>
  <w:style w:type="character" w:styleId="a3">
    <w:name w:val="Hyperlink"/>
    <w:basedOn w:val="a0"/>
    <w:uiPriority w:val="99"/>
    <w:unhideWhenUsed/>
    <w:rsid w:val="007F66BD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F66BD"/>
    <w:rPr>
      <w:rFonts w:ascii="Times New Roman" w:eastAsiaTheme="majorEastAsia" w:hAnsi="Times New Roman" w:cstheme="majorBidi"/>
      <w:color w:val="000000" w:themeColor="text1"/>
      <w:sz w:val="28"/>
      <w:szCs w:val="32"/>
    </w:rPr>
  </w:style>
  <w:style w:type="paragraph" w:styleId="a4">
    <w:name w:val="Body Text Indent"/>
    <w:aliases w:val="Основной текст 1"/>
    <w:basedOn w:val="a"/>
    <w:link w:val="a5"/>
    <w:uiPriority w:val="99"/>
    <w:unhideWhenUsed/>
    <w:rsid w:val="007F66BD"/>
    <w:pPr>
      <w:spacing w:after="120"/>
      <w:ind w:left="283"/>
    </w:pPr>
  </w:style>
  <w:style w:type="character" w:customStyle="1" w:styleId="a5">
    <w:name w:val="Основной текст с отступом Знак"/>
    <w:aliases w:val="Основной текст 1 Знак"/>
    <w:basedOn w:val="a0"/>
    <w:link w:val="a4"/>
    <w:uiPriority w:val="99"/>
    <w:rsid w:val="007F66BD"/>
  </w:style>
  <w:style w:type="paragraph" w:styleId="a6">
    <w:name w:val="List Paragraph"/>
    <w:aliases w:val="маркированный,Абзац списка1"/>
    <w:basedOn w:val="a"/>
    <w:link w:val="a7"/>
    <w:qFormat/>
    <w:rsid w:val="007F66BD"/>
    <w:pPr>
      <w:ind w:left="720"/>
      <w:contextualSpacing/>
    </w:pPr>
  </w:style>
  <w:style w:type="character" w:customStyle="1" w:styleId="a7">
    <w:name w:val="Абзац списка Знак"/>
    <w:aliases w:val="маркированный Знак,Абзац списка1 Знак"/>
    <w:link w:val="a6"/>
    <w:locked/>
    <w:rsid w:val="007F66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369</Words>
  <Characters>2109</Characters>
  <Application>Microsoft Office Word</Application>
  <DocSecurity>0</DocSecurity>
  <Lines>17</Lines>
  <Paragraphs>4</Paragraphs>
  <ScaleCrop>false</ScaleCrop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2020-10-16T06:06:00Z</dcterms:created>
  <dcterms:modified xsi:type="dcterms:W3CDTF">2020-10-16T06:08:00Z</dcterms:modified>
</cp:coreProperties>
</file>