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C7" w:rsidRPr="008216C7" w:rsidRDefault="008216C7" w:rsidP="008216C7">
      <w:pPr>
        <w:spacing w:after="0" w:line="240" w:lineRule="auto"/>
        <w:ind w:firstLine="567"/>
        <w:jc w:val="center"/>
        <w:rPr>
          <w:rFonts w:ascii="Times New Roman" w:hAnsi="Times New Roman" w:cs="Times New Roman"/>
          <w:bCs/>
          <w:sz w:val="28"/>
          <w:szCs w:val="28"/>
        </w:rPr>
      </w:pPr>
    </w:p>
    <w:p w:rsidR="008216C7" w:rsidRPr="008216C7" w:rsidRDefault="008216C7" w:rsidP="008216C7">
      <w:pPr>
        <w:spacing w:after="0" w:line="240" w:lineRule="auto"/>
        <w:ind w:firstLine="567"/>
        <w:jc w:val="center"/>
        <w:rPr>
          <w:rFonts w:ascii="Times New Roman" w:hAnsi="Times New Roman" w:cs="Times New Roman"/>
          <w:bCs/>
          <w:sz w:val="28"/>
          <w:szCs w:val="28"/>
        </w:rPr>
      </w:pPr>
      <w:proofErr w:type="spellStart"/>
      <w:r w:rsidRPr="008216C7">
        <w:rPr>
          <w:rFonts w:ascii="Times New Roman" w:hAnsi="Times New Roman" w:cs="Times New Roman"/>
          <w:bCs/>
          <w:sz w:val="28"/>
          <w:szCs w:val="28"/>
        </w:rPr>
        <w:t>Мд_</w:t>
      </w:r>
      <w:r w:rsidRPr="008216C7">
        <w:rPr>
          <w:rFonts w:ascii="Times New Roman" w:hAnsi="Times New Roman" w:cs="Times New Roman"/>
          <w:bCs/>
          <w:sz w:val="28"/>
          <w:szCs w:val="28"/>
        </w:rPr>
        <w:t>ИНСТИТУТ</w:t>
      </w:r>
      <w:proofErr w:type="spellEnd"/>
      <w:r w:rsidRPr="008216C7">
        <w:rPr>
          <w:rFonts w:ascii="Times New Roman" w:hAnsi="Times New Roman" w:cs="Times New Roman"/>
          <w:bCs/>
          <w:sz w:val="28"/>
          <w:szCs w:val="28"/>
        </w:rPr>
        <w:t xml:space="preserve"> ОСОБОГО МНЕНИЯ: </w:t>
      </w:r>
    </w:p>
    <w:p w:rsidR="008216C7" w:rsidRDefault="008216C7" w:rsidP="008216C7">
      <w:pPr>
        <w:spacing w:after="0" w:line="240" w:lineRule="auto"/>
        <w:ind w:firstLine="567"/>
        <w:jc w:val="center"/>
        <w:rPr>
          <w:rFonts w:ascii="Times New Roman" w:hAnsi="Times New Roman" w:cs="Times New Roman"/>
          <w:bCs/>
          <w:sz w:val="28"/>
          <w:szCs w:val="28"/>
        </w:rPr>
      </w:pPr>
      <w:r w:rsidRPr="008216C7">
        <w:rPr>
          <w:rFonts w:ascii="Times New Roman" w:hAnsi="Times New Roman" w:cs="Times New Roman"/>
          <w:bCs/>
          <w:sz w:val="28"/>
          <w:szCs w:val="28"/>
        </w:rPr>
        <w:t>ВОПРОСЫ КОНФИДЕНЦИАЛЬНОСТИ И РАСКРЫТИЯ</w:t>
      </w:r>
    </w:p>
    <w:p w:rsidR="008216C7" w:rsidRDefault="008216C7" w:rsidP="008216C7">
      <w:pPr>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Стр_36</w:t>
      </w:r>
    </w:p>
    <w:p w:rsidR="008216C7" w:rsidRPr="008216C7" w:rsidRDefault="008216C7" w:rsidP="008216C7">
      <w:pPr>
        <w:spacing w:after="0" w:line="240" w:lineRule="auto"/>
        <w:ind w:firstLine="567"/>
        <w:rPr>
          <w:rFonts w:ascii="Times New Roman" w:hAnsi="Times New Roman" w:cs="Times New Roman"/>
          <w:bCs/>
          <w:sz w:val="28"/>
          <w:szCs w:val="28"/>
        </w:rPr>
      </w:pPr>
    </w:p>
    <w:sdt>
      <w:sdtPr>
        <w:rPr>
          <w:rFonts w:asciiTheme="minorHAnsi" w:hAnsiTheme="minorHAnsi" w:cstheme="minorBidi"/>
          <w:b w:val="0"/>
          <w:bCs w:val="0"/>
          <w:noProof w:val="0"/>
        </w:rPr>
        <w:id w:val="-1019777080"/>
        <w:docPartObj>
          <w:docPartGallery w:val="Table of Contents"/>
          <w:docPartUnique/>
        </w:docPartObj>
      </w:sdtPr>
      <w:sdtEndPr>
        <w:rPr>
          <w:sz w:val="28"/>
          <w:szCs w:val="28"/>
        </w:rPr>
      </w:sdtEndPr>
      <w:sdtContent>
        <w:p w:rsidR="008216C7" w:rsidRPr="008216C7" w:rsidRDefault="008216C7" w:rsidP="008216C7">
          <w:pPr>
            <w:pStyle w:val="11"/>
            <w:spacing w:after="0" w:line="240" w:lineRule="auto"/>
            <w:rPr>
              <w:rFonts w:eastAsiaTheme="minorEastAsia"/>
              <w:b w:val="0"/>
              <w:sz w:val="28"/>
              <w:szCs w:val="28"/>
            </w:rPr>
          </w:pPr>
          <w:r w:rsidRPr="008216C7">
            <w:rPr>
              <w:b w:val="0"/>
              <w:sz w:val="28"/>
              <w:szCs w:val="28"/>
            </w:rPr>
            <w:fldChar w:fldCharType="begin"/>
          </w:r>
          <w:r w:rsidRPr="008216C7">
            <w:rPr>
              <w:b w:val="0"/>
              <w:sz w:val="28"/>
              <w:szCs w:val="28"/>
            </w:rPr>
            <w:instrText xml:space="preserve"> TOC \o "1-3" \h \z \u </w:instrText>
          </w:r>
          <w:r w:rsidRPr="008216C7">
            <w:rPr>
              <w:b w:val="0"/>
              <w:sz w:val="28"/>
              <w:szCs w:val="28"/>
            </w:rPr>
            <w:fldChar w:fldCharType="separate"/>
          </w:r>
        </w:p>
        <w:p w:rsidR="008216C7" w:rsidRPr="008216C7" w:rsidRDefault="008216C7" w:rsidP="008216C7">
          <w:pPr>
            <w:spacing w:after="0" w:line="240" w:lineRule="auto"/>
            <w:rPr>
              <w:noProof/>
              <w:sz w:val="28"/>
              <w:szCs w:val="28"/>
            </w:rPr>
          </w:pPr>
        </w:p>
        <w:p w:rsidR="008216C7" w:rsidRPr="008216C7" w:rsidRDefault="008216C7" w:rsidP="008216C7">
          <w:pPr>
            <w:pStyle w:val="11"/>
            <w:spacing w:after="0" w:line="240" w:lineRule="auto"/>
            <w:rPr>
              <w:rStyle w:val="a3"/>
              <w:b w:val="0"/>
              <w:sz w:val="28"/>
              <w:szCs w:val="28"/>
            </w:rPr>
          </w:pPr>
          <w:hyperlink w:anchor="_Toc193693123" w:history="1">
            <w:r w:rsidRPr="008216C7">
              <w:rPr>
                <w:rStyle w:val="a3"/>
                <w:b w:val="0"/>
                <w:sz w:val="28"/>
                <w:szCs w:val="28"/>
              </w:rPr>
              <w:t>Введение</w:t>
            </w:r>
          </w:hyperlink>
        </w:p>
        <w:p w:rsidR="008216C7" w:rsidRPr="008216C7" w:rsidRDefault="008216C7" w:rsidP="008216C7">
          <w:pPr>
            <w:spacing w:after="0" w:line="240" w:lineRule="auto"/>
            <w:rPr>
              <w:noProof/>
              <w:sz w:val="28"/>
              <w:szCs w:val="28"/>
            </w:rPr>
          </w:pPr>
        </w:p>
        <w:p w:rsidR="008216C7" w:rsidRPr="008216C7" w:rsidRDefault="008216C7" w:rsidP="008216C7">
          <w:pPr>
            <w:pStyle w:val="11"/>
            <w:spacing w:after="0" w:line="240" w:lineRule="auto"/>
            <w:rPr>
              <w:rFonts w:eastAsiaTheme="minorEastAsia"/>
              <w:b w:val="0"/>
              <w:sz w:val="28"/>
              <w:szCs w:val="28"/>
            </w:rPr>
          </w:pPr>
          <w:hyperlink w:anchor="_Toc193693124" w:history="1">
            <w:r w:rsidRPr="008216C7">
              <w:rPr>
                <w:rStyle w:val="a3"/>
                <w:b w:val="0"/>
                <w:sz w:val="28"/>
                <w:szCs w:val="28"/>
              </w:rPr>
              <w:t>1 Общая характеристика феномена особого мнения судьи</w:t>
            </w:r>
          </w:hyperlink>
        </w:p>
        <w:p w:rsidR="008216C7" w:rsidRPr="008216C7" w:rsidRDefault="008216C7" w:rsidP="008216C7">
          <w:pPr>
            <w:pStyle w:val="11"/>
            <w:spacing w:after="0" w:line="240" w:lineRule="auto"/>
            <w:rPr>
              <w:rFonts w:eastAsiaTheme="minorEastAsia"/>
              <w:b w:val="0"/>
              <w:bCs w:val="0"/>
              <w:sz w:val="28"/>
              <w:szCs w:val="28"/>
            </w:rPr>
          </w:pPr>
          <w:hyperlink w:anchor="_Toc193693125" w:history="1">
            <w:r w:rsidRPr="008216C7">
              <w:rPr>
                <w:rStyle w:val="a3"/>
                <w:b w:val="0"/>
                <w:bCs w:val="0"/>
                <w:sz w:val="28"/>
                <w:szCs w:val="28"/>
              </w:rPr>
              <w:t>1.1 Определение и юридическая природа института особого мнения: историческое развитие и сравнительный анализ в различных юридических системах</w:t>
            </w:r>
          </w:hyperlink>
        </w:p>
        <w:p w:rsidR="008216C7" w:rsidRPr="008216C7" w:rsidRDefault="008216C7" w:rsidP="008216C7">
          <w:pPr>
            <w:pStyle w:val="11"/>
            <w:spacing w:after="0" w:line="240" w:lineRule="auto"/>
            <w:rPr>
              <w:rStyle w:val="a3"/>
              <w:b w:val="0"/>
              <w:bCs w:val="0"/>
              <w:sz w:val="28"/>
              <w:szCs w:val="28"/>
            </w:rPr>
          </w:pPr>
          <w:hyperlink w:anchor="_Toc193693126" w:history="1">
            <w:r w:rsidRPr="008216C7">
              <w:rPr>
                <w:rStyle w:val="a3"/>
                <w:b w:val="0"/>
                <w:bCs w:val="0"/>
                <w:sz w:val="28"/>
                <w:szCs w:val="28"/>
              </w:rPr>
              <w:t>1.2 Особое мнение судьи как элемент модели судебного поведения</w:t>
            </w:r>
          </w:hyperlink>
        </w:p>
        <w:p w:rsidR="008216C7" w:rsidRPr="008216C7" w:rsidRDefault="008216C7" w:rsidP="008216C7">
          <w:pPr>
            <w:spacing w:after="0" w:line="240" w:lineRule="auto"/>
            <w:rPr>
              <w:noProof/>
              <w:sz w:val="28"/>
              <w:szCs w:val="28"/>
            </w:rPr>
          </w:pPr>
        </w:p>
        <w:p w:rsidR="008216C7" w:rsidRPr="008216C7" w:rsidRDefault="008216C7" w:rsidP="008216C7">
          <w:pPr>
            <w:pStyle w:val="11"/>
            <w:spacing w:after="0" w:line="240" w:lineRule="auto"/>
            <w:rPr>
              <w:rFonts w:eastAsiaTheme="minorEastAsia"/>
              <w:b w:val="0"/>
              <w:sz w:val="28"/>
              <w:szCs w:val="28"/>
            </w:rPr>
          </w:pPr>
          <w:hyperlink w:anchor="_Toc193693127" w:history="1">
            <w:r w:rsidRPr="008216C7">
              <w:rPr>
                <w:rStyle w:val="a3"/>
                <w:b w:val="0"/>
                <w:sz w:val="28"/>
                <w:szCs w:val="28"/>
              </w:rPr>
              <w:t>2 Нормативное регулирование и практика реализации института особых мнений судей в зарубежных странах и в Казахстане</w:t>
            </w:r>
          </w:hyperlink>
        </w:p>
        <w:p w:rsidR="008216C7" w:rsidRPr="008216C7" w:rsidRDefault="008216C7" w:rsidP="008216C7">
          <w:pPr>
            <w:pStyle w:val="11"/>
            <w:spacing w:after="0" w:line="240" w:lineRule="auto"/>
            <w:rPr>
              <w:rFonts w:eastAsiaTheme="minorEastAsia"/>
              <w:b w:val="0"/>
              <w:bCs w:val="0"/>
              <w:sz w:val="28"/>
              <w:szCs w:val="28"/>
            </w:rPr>
          </w:pPr>
          <w:hyperlink w:anchor="_Toc193693128" w:history="1">
            <w:r w:rsidRPr="008216C7">
              <w:rPr>
                <w:rStyle w:val="a3"/>
                <w:b w:val="0"/>
                <w:bCs w:val="0"/>
                <w:sz w:val="28"/>
                <w:szCs w:val="28"/>
              </w:rPr>
              <w:t>2.1 Правовая характеристика англо-саксонской, романо-германской модели особого мнения судьи конституционного суда и особых мнений судей международных судебных органов</w:t>
            </w:r>
          </w:hyperlink>
        </w:p>
        <w:p w:rsidR="008216C7" w:rsidRPr="008216C7" w:rsidRDefault="008216C7" w:rsidP="008216C7">
          <w:pPr>
            <w:pStyle w:val="11"/>
            <w:spacing w:after="0" w:line="240" w:lineRule="auto"/>
            <w:rPr>
              <w:rFonts w:eastAsiaTheme="minorEastAsia"/>
              <w:b w:val="0"/>
              <w:bCs w:val="0"/>
              <w:sz w:val="28"/>
              <w:szCs w:val="28"/>
            </w:rPr>
          </w:pPr>
          <w:hyperlink w:anchor="_Toc193693129" w:history="1">
            <w:r w:rsidRPr="008216C7">
              <w:rPr>
                <w:rStyle w:val="a3"/>
                <w:b w:val="0"/>
                <w:bCs w:val="0"/>
                <w:sz w:val="28"/>
                <w:szCs w:val="28"/>
              </w:rPr>
              <w:t>2.2 Особое мнение судьи: казахстанская модель</w:t>
            </w:r>
          </w:hyperlink>
        </w:p>
        <w:p w:rsidR="008216C7" w:rsidRPr="008216C7" w:rsidRDefault="008216C7" w:rsidP="008216C7">
          <w:pPr>
            <w:pStyle w:val="11"/>
            <w:spacing w:after="0" w:line="240" w:lineRule="auto"/>
            <w:rPr>
              <w:rFonts w:eastAsiaTheme="minorEastAsia"/>
              <w:b w:val="0"/>
              <w:bCs w:val="0"/>
              <w:sz w:val="28"/>
              <w:szCs w:val="28"/>
            </w:rPr>
          </w:pPr>
          <w:hyperlink w:anchor="_Toc193693130" w:history="1">
            <w:r w:rsidRPr="008216C7">
              <w:rPr>
                <w:rStyle w:val="a3"/>
                <w:b w:val="0"/>
                <w:bCs w:val="0"/>
                <w:sz w:val="28"/>
                <w:szCs w:val="28"/>
              </w:rPr>
              <w:t>2.3 Закрытость особого мнения от общественности и его доступность только для Верховного Суда</w:t>
            </w:r>
          </w:hyperlink>
        </w:p>
        <w:p w:rsidR="008216C7" w:rsidRPr="008216C7" w:rsidRDefault="008216C7" w:rsidP="008216C7">
          <w:pPr>
            <w:pStyle w:val="11"/>
            <w:spacing w:after="0" w:line="240" w:lineRule="auto"/>
            <w:rPr>
              <w:rStyle w:val="a3"/>
              <w:b w:val="0"/>
              <w:bCs w:val="0"/>
              <w:sz w:val="28"/>
              <w:szCs w:val="28"/>
            </w:rPr>
          </w:pPr>
          <w:hyperlink w:anchor="_Toc193693131" w:history="1">
            <w:r w:rsidRPr="008216C7">
              <w:rPr>
                <w:rStyle w:val="a3"/>
                <w:b w:val="0"/>
                <w:bCs w:val="0"/>
                <w:sz w:val="28"/>
                <w:szCs w:val="28"/>
              </w:rPr>
              <w:t>2.4 Влияние непрозрачности на правосудие и справедливость</w:t>
            </w:r>
          </w:hyperlink>
        </w:p>
        <w:p w:rsidR="008216C7" w:rsidRPr="008216C7" w:rsidRDefault="008216C7" w:rsidP="008216C7">
          <w:pPr>
            <w:spacing w:after="0" w:line="240" w:lineRule="auto"/>
            <w:rPr>
              <w:bCs/>
              <w:noProof/>
              <w:sz w:val="28"/>
              <w:szCs w:val="28"/>
            </w:rPr>
          </w:pPr>
        </w:p>
        <w:p w:rsidR="008216C7" w:rsidRPr="008216C7" w:rsidRDefault="008216C7" w:rsidP="008216C7">
          <w:pPr>
            <w:pStyle w:val="11"/>
            <w:spacing w:after="0" w:line="240" w:lineRule="auto"/>
            <w:rPr>
              <w:rFonts w:eastAsiaTheme="minorEastAsia"/>
              <w:b w:val="0"/>
              <w:sz w:val="28"/>
              <w:szCs w:val="28"/>
            </w:rPr>
          </w:pPr>
          <w:hyperlink w:anchor="_Toc193693132" w:history="1">
            <w:r w:rsidRPr="008216C7">
              <w:rPr>
                <w:rStyle w:val="a3"/>
                <w:b w:val="0"/>
                <w:sz w:val="28"/>
                <w:szCs w:val="28"/>
              </w:rPr>
              <w:t>3 Предложения по изменению процессуальных законов в области особого мнения судей в Казахстане</w:t>
            </w:r>
          </w:hyperlink>
        </w:p>
        <w:p w:rsidR="008216C7" w:rsidRPr="008216C7" w:rsidRDefault="008216C7" w:rsidP="008216C7">
          <w:pPr>
            <w:pStyle w:val="11"/>
            <w:spacing w:after="0" w:line="240" w:lineRule="auto"/>
            <w:rPr>
              <w:rFonts w:eastAsiaTheme="minorEastAsia"/>
              <w:b w:val="0"/>
              <w:bCs w:val="0"/>
              <w:sz w:val="28"/>
              <w:szCs w:val="28"/>
            </w:rPr>
          </w:pPr>
          <w:hyperlink w:anchor="_Toc193693133" w:history="1">
            <w:r w:rsidRPr="008216C7">
              <w:rPr>
                <w:rStyle w:val="a3"/>
                <w:b w:val="0"/>
                <w:bCs w:val="0"/>
                <w:sz w:val="28"/>
                <w:szCs w:val="28"/>
              </w:rPr>
              <w:t>3.1 Необходимость реформ для улучшения доступности и гласности особых мнений</w:t>
            </w:r>
          </w:hyperlink>
        </w:p>
        <w:p w:rsidR="008216C7" w:rsidRPr="008216C7" w:rsidRDefault="008216C7" w:rsidP="008216C7">
          <w:pPr>
            <w:pStyle w:val="11"/>
            <w:spacing w:after="0" w:line="240" w:lineRule="auto"/>
            <w:rPr>
              <w:rStyle w:val="a3"/>
              <w:b w:val="0"/>
              <w:bCs w:val="0"/>
              <w:sz w:val="28"/>
              <w:szCs w:val="28"/>
            </w:rPr>
          </w:pPr>
          <w:hyperlink w:anchor="_Toc193693134" w:history="1">
            <w:r w:rsidRPr="008216C7">
              <w:rPr>
                <w:rStyle w:val="a3"/>
                <w:b w:val="0"/>
                <w:bCs w:val="0"/>
                <w:sz w:val="28"/>
                <w:szCs w:val="28"/>
              </w:rPr>
              <w:t>3.2 Конкретные предложения по изменению законодательства для повышения прозрачности</w:t>
            </w:r>
          </w:hyperlink>
        </w:p>
        <w:p w:rsidR="008216C7" w:rsidRPr="008216C7" w:rsidRDefault="008216C7" w:rsidP="008216C7">
          <w:pPr>
            <w:spacing w:after="0" w:line="240" w:lineRule="auto"/>
            <w:rPr>
              <w:bCs/>
              <w:noProof/>
              <w:sz w:val="28"/>
              <w:szCs w:val="28"/>
            </w:rPr>
          </w:pPr>
        </w:p>
        <w:p w:rsidR="008216C7" w:rsidRPr="008216C7" w:rsidRDefault="008216C7" w:rsidP="008216C7">
          <w:pPr>
            <w:pStyle w:val="11"/>
            <w:spacing w:after="0" w:line="240" w:lineRule="auto"/>
            <w:rPr>
              <w:rFonts w:eastAsiaTheme="minorEastAsia"/>
              <w:b w:val="0"/>
              <w:sz w:val="28"/>
              <w:szCs w:val="28"/>
            </w:rPr>
          </w:pPr>
          <w:hyperlink w:anchor="_Toc193693135" w:history="1">
            <w:r w:rsidRPr="008216C7">
              <w:rPr>
                <w:rStyle w:val="a3"/>
                <w:b w:val="0"/>
                <w:sz w:val="28"/>
                <w:szCs w:val="28"/>
              </w:rPr>
              <w:t>Заключение</w:t>
            </w:r>
          </w:hyperlink>
        </w:p>
        <w:p w:rsidR="008216C7" w:rsidRPr="008216C7" w:rsidRDefault="008216C7" w:rsidP="008216C7">
          <w:pPr>
            <w:pStyle w:val="11"/>
            <w:spacing w:after="0" w:line="240" w:lineRule="auto"/>
            <w:rPr>
              <w:rFonts w:eastAsiaTheme="minorEastAsia"/>
              <w:b w:val="0"/>
              <w:sz w:val="28"/>
              <w:szCs w:val="28"/>
            </w:rPr>
          </w:pPr>
          <w:hyperlink w:anchor="_Toc193693136" w:history="1">
            <w:r w:rsidRPr="008216C7">
              <w:rPr>
                <w:rStyle w:val="a3"/>
                <w:b w:val="0"/>
                <w:sz w:val="28"/>
                <w:szCs w:val="28"/>
              </w:rPr>
              <w:t>Список использованных источников</w:t>
            </w:r>
          </w:hyperlink>
        </w:p>
        <w:p w:rsidR="008216C7" w:rsidRPr="008216C7" w:rsidRDefault="008216C7" w:rsidP="008216C7">
          <w:pPr>
            <w:spacing w:after="0" w:line="240" w:lineRule="auto"/>
            <w:rPr>
              <w:rFonts w:ascii="Times New Roman" w:hAnsi="Times New Roman" w:cs="Times New Roman"/>
              <w:bCs/>
              <w:sz w:val="28"/>
              <w:szCs w:val="28"/>
            </w:rPr>
          </w:pPr>
          <w:r w:rsidRPr="008216C7">
            <w:rPr>
              <w:rFonts w:ascii="Times New Roman" w:hAnsi="Times New Roman" w:cs="Times New Roman"/>
              <w:bCs/>
              <w:sz w:val="28"/>
              <w:szCs w:val="28"/>
            </w:rPr>
            <w:fldChar w:fldCharType="end"/>
          </w:r>
        </w:p>
      </w:sdtContent>
    </w:sdt>
    <w:p w:rsidR="00A70EDD"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Pr="001D7535" w:rsidRDefault="008216C7" w:rsidP="008216C7">
      <w:pPr>
        <w:pStyle w:val="1"/>
        <w:spacing w:before="0" w:after="0" w:line="240" w:lineRule="auto"/>
        <w:jc w:val="center"/>
        <w:rPr>
          <w:rFonts w:ascii="Times New Roman" w:hAnsi="Times New Roman" w:cs="Times New Roman"/>
          <w:b/>
          <w:bCs/>
          <w:color w:val="auto"/>
          <w:sz w:val="28"/>
          <w:szCs w:val="28"/>
        </w:rPr>
      </w:pPr>
      <w:bookmarkStart w:id="0" w:name="_Toc193693135"/>
      <w:r w:rsidRPr="001D7535">
        <w:rPr>
          <w:rFonts w:ascii="Times New Roman" w:hAnsi="Times New Roman" w:cs="Times New Roman"/>
          <w:b/>
          <w:bCs/>
          <w:color w:val="auto"/>
          <w:sz w:val="28"/>
          <w:szCs w:val="28"/>
        </w:rPr>
        <w:lastRenderedPageBreak/>
        <w:t>Заключение</w:t>
      </w:r>
      <w:bookmarkEnd w:id="0"/>
    </w:p>
    <w:p w:rsidR="008216C7" w:rsidRPr="001D7535" w:rsidRDefault="008216C7" w:rsidP="008216C7">
      <w:pPr>
        <w:spacing w:after="0" w:line="240" w:lineRule="auto"/>
        <w:ind w:firstLine="567"/>
        <w:jc w:val="both"/>
        <w:rPr>
          <w:rFonts w:ascii="Times New Roman" w:hAnsi="Times New Roman" w:cs="Times New Roman"/>
          <w:sz w:val="28"/>
          <w:szCs w:val="28"/>
        </w:rPr>
      </w:pPr>
    </w:p>
    <w:p w:rsidR="008216C7" w:rsidRPr="001D7535" w:rsidRDefault="008216C7" w:rsidP="008216C7">
      <w:pPr>
        <w:spacing w:after="0" w:line="240" w:lineRule="auto"/>
        <w:ind w:firstLine="567"/>
        <w:jc w:val="both"/>
        <w:rPr>
          <w:rFonts w:ascii="Times New Roman" w:hAnsi="Times New Roman" w:cs="Times New Roman"/>
          <w:sz w:val="28"/>
          <w:szCs w:val="28"/>
        </w:rPr>
      </w:pPr>
      <w:r w:rsidRPr="001D7535">
        <w:rPr>
          <w:rFonts w:ascii="Times New Roman" w:hAnsi="Times New Roman" w:cs="Times New Roman"/>
          <w:sz w:val="28"/>
          <w:szCs w:val="28"/>
        </w:rPr>
        <w:t>Особое мнение судьи является важной частью судебной системы. Оно отражает личную правовую позицию конкретного судьи. Такая возможность выражения мнения подчеркивает независимость судебной власти. Судья получает возможность представить иную точку зрения на решение. Этот институт оказывает влияние на развитие юридической практики. Он способствует разнообразию взглядов на толкование правовых норм. Благодаря этому правовая наука получает новый материал для анализа. Юридический диалог становится более глубоким и продуктивным.</w:t>
      </w:r>
    </w:p>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Default="008216C7"/>
    <w:p w:rsidR="008216C7" w:rsidRPr="001D7535" w:rsidRDefault="008216C7" w:rsidP="008216C7">
      <w:pPr>
        <w:pStyle w:val="1"/>
        <w:spacing w:before="0" w:after="0" w:line="240" w:lineRule="auto"/>
        <w:jc w:val="center"/>
        <w:rPr>
          <w:rFonts w:ascii="Times New Roman" w:hAnsi="Times New Roman" w:cs="Times New Roman"/>
          <w:b/>
          <w:bCs/>
          <w:color w:val="auto"/>
          <w:sz w:val="28"/>
          <w:szCs w:val="28"/>
        </w:rPr>
      </w:pPr>
      <w:bookmarkStart w:id="1" w:name="_Toc193693136"/>
      <w:r w:rsidRPr="001D7535">
        <w:rPr>
          <w:rFonts w:ascii="Times New Roman" w:hAnsi="Times New Roman" w:cs="Times New Roman"/>
          <w:b/>
          <w:bCs/>
          <w:color w:val="auto"/>
          <w:sz w:val="28"/>
          <w:szCs w:val="28"/>
        </w:rPr>
        <w:t>Список использованных источников</w:t>
      </w:r>
      <w:bookmarkEnd w:id="1"/>
    </w:p>
    <w:p w:rsidR="008216C7" w:rsidRPr="001D7535" w:rsidRDefault="008216C7" w:rsidP="008216C7">
      <w:pPr>
        <w:spacing w:after="0" w:line="240" w:lineRule="auto"/>
        <w:ind w:firstLine="567"/>
        <w:jc w:val="both"/>
        <w:rPr>
          <w:rFonts w:ascii="Times New Roman" w:hAnsi="Times New Roman" w:cs="Times New Roman"/>
          <w:sz w:val="28"/>
          <w:szCs w:val="28"/>
        </w:rPr>
      </w:pPr>
    </w:p>
    <w:p w:rsidR="008216C7" w:rsidRPr="001D7535" w:rsidRDefault="008216C7" w:rsidP="008216C7">
      <w:pPr>
        <w:pStyle w:val="a4"/>
        <w:numPr>
          <w:ilvl w:val="0"/>
          <w:numId w:val="1"/>
        </w:numPr>
        <w:spacing w:after="0" w:line="240" w:lineRule="auto"/>
        <w:ind w:left="0" w:firstLine="567"/>
        <w:jc w:val="both"/>
        <w:rPr>
          <w:rFonts w:ascii="Times New Roman" w:hAnsi="Times New Roman" w:cs="Times New Roman"/>
          <w:sz w:val="28"/>
          <w:szCs w:val="28"/>
        </w:rPr>
      </w:pPr>
      <w:r w:rsidRPr="001D7535">
        <w:rPr>
          <w:rFonts w:ascii="Times New Roman" w:hAnsi="Times New Roman" w:cs="Times New Roman"/>
          <w:sz w:val="28"/>
          <w:szCs w:val="28"/>
        </w:rPr>
        <w:t>Басангов Д.А. Юридическая природа особого мнения судьи // Журнал российского права. 2006. № 2. С. 24-34.</w:t>
      </w:r>
    </w:p>
    <w:p w:rsidR="008216C7" w:rsidRPr="001D7535" w:rsidRDefault="008216C7" w:rsidP="008216C7">
      <w:pPr>
        <w:pStyle w:val="a4"/>
        <w:numPr>
          <w:ilvl w:val="0"/>
          <w:numId w:val="1"/>
        </w:numPr>
        <w:spacing w:after="0" w:line="240" w:lineRule="auto"/>
        <w:ind w:left="0" w:firstLine="567"/>
        <w:jc w:val="both"/>
        <w:rPr>
          <w:rFonts w:ascii="Times New Roman" w:hAnsi="Times New Roman" w:cs="Times New Roman"/>
          <w:sz w:val="28"/>
          <w:szCs w:val="28"/>
        </w:rPr>
      </w:pPr>
      <w:proofErr w:type="spellStart"/>
      <w:r w:rsidRPr="001D7535">
        <w:rPr>
          <w:rFonts w:ascii="Times New Roman" w:hAnsi="Times New Roman" w:cs="Times New Roman"/>
          <w:sz w:val="28"/>
          <w:szCs w:val="28"/>
        </w:rPr>
        <w:t>Терюкова</w:t>
      </w:r>
      <w:proofErr w:type="spellEnd"/>
      <w:r w:rsidRPr="001D7535">
        <w:rPr>
          <w:rFonts w:ascii="Times New Roman" w:hAnsi="Times New Roman" w:cs="Times New Roman"/>
          <w:sz w:val="28"/>
          <w:szCs w:val="28"/>
        </w:rPr>
        <w:t xml:space="preserve"> Е.Ю. Акты в процессе осуществления конституционного правосудия: </w:t>
      </w:r>
      <w:proofErr w:type="spellStart"/>
      <w:r w:rsidRPr="001D7535">
        <w:rPr>
          <w:rFonts w:ascii="Times New Roman" w:hAnsi="Times New Roman" w:cs="Times New Roman"/>
          <w:sz w:val="28"/>
          <w:szCs w:val="28"/>
        </w:rPr>
        <w:t>дис</w:t>
      </w:r>
      <w:proofErr w:type="spellEnd"/>
      <w:r w:rsidRPr="001D7535">
        <w:rPr>
          <w:rFonts w:ascii="Times New Roman" w:hAnsi="Times New Roman" w:cs="Times New Roman"/>
          <w:sz w:val="28"/>
          <w:szCs w:val="28"/>
        </w:rPr>
        <w:t xml:space="preserve">. ... канд. </w:t>
      </w:r>
      <w:proofErr w:type="spellStart"/>
      <w:r w:rsidRPr="001D7535">
        <w:rPr>
          <w:rFonts w:ascii="Times New Roman" w:hAnsi="Times New Roman" w:cs="Times New Roman"/>
          <w:sz w:val="28"/>
          <w:szCs w:val="28"/>
        </w:rPr>
        <w:t>юрид</w:t>
      </w:r>
      <w:proofErr w:type="spellEnd"/>
      <w:r w:rsidRPr="001D7535">
        <w:rPr>
          <w:rFonts w:ascii="Times New Roman" w:hAnsi="Times New Roman" w:cs="Times New Roman"/>
          <w:sz w:val="28"/>
          <w:szCs w:val="28"/>
        </w:rPr>
        <w:t>. наук. М., 1999.</w:t>
      </w:r>
    </w:p>
    <w:p w:rsidR="008216C7" w:rsidRPr="001D7535" w:rsidRDefault="008216C7" w:rsidP="008216C7">
      <w:pPr>
        <w:pStyle w:val="a4"/>
        <w:numPr>
          <w:ilvl w:val="0"/>
          <w:numId w:val="1"/>
        </w:numPr>
        <w:spacing w:after="0" w:line="240" w:lineRule="auto"/>
        <w:ind w:left="0" w:firstLine="567"/>
        <w:jc w:val="both"/>
        <w:rPr>
          <w:rFonts w:ascii="Times New Roman" w:hAnsi="Times New Roman" w:cs="Times New Roman"/>
          <w:sz w:val="28"/>
          <w:szCs w:val="28"/>
        </w:rPr>
      </w:pPr>
      <w:proofErr w:type="spellStart"/>
      <w:r w:rsidRPr="001D7535">
        <w:rPr>
          <w:rFonts w:ascii="Times New Roman" w:hAnsi="Times New Roman" w:cs="Times New Roman"/>
          <w:sz w:val="28"/>
          <w:szCs w:val="28"/>
          <w:lang w:val="en-US"/>
        </w:rPr>
        <w:t>Dumbauld</w:t>
      </w:r>
      <w:proofErr w:type="spellEnd"/>
      <w:r w:rsidRPr="001D7535">
        <w:rPr>
          <w:rFonts w:ascii="Times New Roman" w:hAnsi="Times New Roman" w:cs="Times New Roman"/>
          <w:sz w:val="28"/>
          <w:szCs w:val="28"/>
          <w:lang w:val="en-US"/>
        </w:rPr>
        <w:t xml:space="preserve"> E. Dissenting Opinions in International </w:t>
      </w:r>
      <w:proofErr w:type="spellStart"/>
      <w:r w:rsidRPr="001D7535">
        <w:rPr>
          <w:rFonts w:ascii="Times New Roman" w:hAnsi="Times New Roman" w:cs="Times New Roman"/>
          <w:sz w:val="28"/>
          <w:szCs w:val="28"/>
          <w:lang w:val="en-US"/>
        </w:rPr>
        <w:t>Abjudication</w:t>
      </w:r>
      <w:proofErr w:type="spellEnd"/>
      <w:r w:rsidRPr="001D7535">
        <w:rPr>
          <w:rFonts w:ascii="Times New Roman" w:hAnsi="Times New Roman" w:cs="Times New Roman"/>
          <w:sz w:val="28"/>
          <w:szCs w:val="28"/>
          <w:lang w:val="en-US"/>
        </w:rPr>
        <w:t xml:space="preserve"> // University of Pennsylvania Law Review and American Law Register. </w:t>
      </w:r>
      <w:r w:rsidRPr="001D7535">
        <w:rPr>
          <w:rFonts w:ascii="Times New Roman" w:hAnsi="Times New Roman" w:cs="Times New Roman"/>
          <w:sz w:val="28"/>
          <w:szCs w:val="28"/>
        </w:rPr>
        <w:t>1999. №. 8. P. 929-945.</w:t>
      </w:r>
    </w:p>
    <w:p w:rsidR="008216C7" w:rsidRPr="001D7535" w:rsidRDefault="008216C7" w:rsidP="008216C7">
      <w:pPr>
        <w:pStyle w:val="a4"/>
        <w:numPr>
          <w:ilvl w:val="0"/>
          <w:numId w:val="1"/>
        </w:numPr>
        <w:spacing w:after="0" w:line="240" w:lineRule="auto"/>
        <w:ind w:left="0" w:firstLine="567"/>
        <w:jc w:val="both"/>
        <w:rPr>
          <w:rFonts w:ascii="Times New Roman" w:hAnsi="Times New Roman" w:cs="Times New Roman"/>
          <w:sz w:val="28"/>
          <w:szCs w:val="28"/>
          <w:lang w:val="en-US"/>
        </w:rPr>
      </w:pPr>
      <w:proofErr w:type="spellStart"/>
      <w:r w:rsidRPr="001D7535">
        <w:rPr>
          <w:rFonts w:ascii="Times New Roman" w:hAnsi="Times New Roman" w:cs="Times New Roman"/>
          <w:sz w:val="28"/>
          <w:szCs w:val="28"/>
        </w:rPr>
        <w:t>Ултургашев</w:t>
      </w:r>
      <w:proofErr w:type="spellEnd"/>
      <w:r w:rsidRPr="001D7535">
        <w:rPr>
          <w:rFonts w:ascii="Times New Roman" w:hAnsi="Times New Roman" w:cs="Times New Roman"/>
          <w:sz w:val="28"/>
          <w:szCs w:val="28"/>
        </w:rPr>
        <w:t xml:space="preserve"> П.Ю. Особое мнение судьи Конституционного Суда Российской Федерации: некоторые аспекты регулирования // Журнал конституционного правосудия. </w:t>
      </w:r>
      <w:r w:rsidRPr="001D7535">
        <w:rPr>
          <w:rFonts w:ascii="Times New Roman" w:hAnsi="Times New Roman" w:cs="Times New Roman"/>
          <w:sz w:val="28"/>
          <w:szCs w:val="28"/>
          <w:lang w:val="en-US"/>
        </w:rPr>
        <w:t>201</w:t>
      </w:r>
      <w:r w:rsidRPr="001D7535">
        <w:rPr>
          <w:rFonts w:ascii="Times New Roman" w:hAnsi="Times New Roman" w:cs="Times New Roman"/>
          <w:sz w:val="28"/>
          <w:szCs w:val="28"/>
        </w:rPr>
        <w:t>9</w:t>
      </w:r>
      <w:r w:rsidRPr="001D7535">
        <w:rPr>
          <w:rFonts w:ascii="Times New Roman" w:hAnsi="Times New Roman" w:cs="Times New Roman"/>
          <w:sz w:val="28"/>
          <w:szCs w:val="28"/>
          <w:lang w:val="en-US"/>
        </w:rPr>
        <w:t>. № 3. С. 19-22.</w:t>
      </w:r>
    </w:p>
    <w:p w:rsidR="008216C7" w:rsidRPr="001D7535" w:rsidRDefault="008216C7" w:rsidP="008216C7">
      <w:pPr>
        <w:pStyle w:val="a4"/>
        <w:numPr>
          <w:ilvl w:val="0"/>
          <w:numId w:val="1"/>
        </w:numPr>
        <w:spacing w:after="0" w:line="240" w:lineRule="auto"/>
        <w:ind w:left="0" w:firstLine="567"/>
        <w:jc w:val="both"/>
        <w:rPr>
          <w:rFonts w:ascii="Times New Roman" w:hAnsi="Times New Roman" w:cs="Times New Roman"/>
          <w:sz w:val="28"/>
          <w:szCs w:val="28"/>
          <w:lang w:val="en-US"/>
        </w:rPr>
      </w:pPr>
      <w:r w:rsidRPr="001D7535">
        <w:rPr>
          <w:rFonts w:ascii="Times New Roman" w:hAnsi="Times New Roman" w:cs="Times New Roman"/>
          <w:sz w:val="28"/>
          <w:szCs w:val="28"/>
          <w:lang w:val="en-US"/>
        </w:rPr>
        <w:t>Brennan Jr. W. In Defense of Dissents // California Law Review. 1986. P. 1103-1125.</w:t>
      </w:r>
    </w:p>
    <w:p w:rsidR="008216C7" w:rsidRDefault="008216C7">
      <w:bookmarkStart w:id="2" w:name="_GoBack"/>
      <w:bookmarkEnd w:id="2"/>
    </w:p>
    <w:sectPr w:rsidR="00821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C4B6A"/>
    <w:multiLevelType w:val="hybridMultilevel"/>
    <w:tmpl w:val="BA42FA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7B"/>
    <w:rsid w:val="008216C7"/>
    <w:rsid w:val="00A265BA"/>
    <w:rsid w:val="00AA2F7B"/>
    <w:rsid w:val="00ED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8B8E"/>
  <w15:chartTrackingRefBased/>
  <w15:docId w15:val="{ABA6BB2E-6D62-4A03-B708-8C1DE787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6C7"/>
    <w:rPr>
      <w:kern w:val="2"/>
      <w14:ligatures w14:val="standardContextual"/>
    </w:rPr>
  </w:style>
  <w:style w:type="paragraph" w:styleId="1">
    <w:name w:val="heading 1"/>
    <w:basedOn w:val="a"/>
    <w:next w:val="a"/>
    <w:link w:val="10"/>
    <w:uiPriority w:val="9"/>
    <w:qFormat/>
    <w:rsid w:val="008216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8216C7"/>
    <w:pPr>
      <w:tabs>
        <w:tab w:val="right" w:leader="dot" w:pos="9628"/>
      </w:tabs>
      <w:spacing w:after="100"/>
    </w:pPr>
    <w:rPr>
      <w:rFonts w:ascii="Times New Roman" w:hAnsi="Times New Roman" w:cs="Times New Roman"/>
      <w:b/>
      <w:bCs/>
      <w:noProof/>
    </w:rPr>
  </w:style>
  <w:style w:type="character" w:styleId="a3">
    <w:name w:val="Hyperlink"/>
    <w:basedOn w:val="a0"/>
    <w:uiPriority w:val="99"/>
    <w:unhideWhenUsed/>
    <w:rsid w:val="008216C7"/>
    <w:rPr>
      <w:color w:val="0563C1" w:themeColor="hyperlink"/>
      <w:u w:val="single"/>
    </w:rPr>
  </w:style>
  <w:style w:type="character" w:customStyle="1" w:styleId="10">
    <w:name w:val="Заголовок 1 Знак"/>
    <w:basedOn w:val="a0"/>
    <w:link w:val="1"/>
    <w:uiPriority w:val="9"/>
    <w:rsid w:val="008216C7"/>
    <w:rPr>
      <w:rFonts w:asciiTheme="majorHAnsi" w:eastAsiaTheme="majorEastAsia" w:hAnsiTheme="majorHAnsi" w:cstheme="majorBidi"/>
      <w:color w:val="2E74B5" w:themeColor="accent1" w:themeShade="BF"/>
      <w:kern w:val="2"/>
      <w:sz w:val="40"/>
      <w:szCs w:val="40"/>
      <w14:ligatures w14:val="standardContextual"/>
    </w:rPr>
  </w:style>
  <w:style w:type="paragraph" w:styleId="a4">
    <w:name w:val="List Paragraph"/>
    <w:basedOn w:val="a"/>
    <w:uiPriority w:val="34"/>
    <w:qFormat/>
    <w:rsid w:val="00821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2026-01-09T14:06:00Z</dcterms:created>
  <dcterms:modified xsi:type="dcterms:W3CDTF">2026-01-09T14:08:00Z</dcterms:modified>
</cp:coreProperties>
</file>