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BB" w:rsidRDefault="002A6561" w:rsidP="002A6561">
      <w:pPr>
        <w:jc w:val="center"/>
        <w:rPr>
          <w:rFonts w:ascii="Times New Roman" w:hAnsi="Times New Roman" w:cs="Times New Roman"/>
          <w:color w:val="2C2D2E"/>
          <w:sz w:val="28"/>
          <w:shd w:val="clear" w:color="auto" w:fill="FFFFFF"/>
        </w:rPr>
      </w:pPr>
      <w:r w:rsidRPr="002A6561">
        <w:rPr>
          <w:rFonts w:ascii="Times New Roman" w:hAnsi="Times New Roman" w:cs="Times New Roman"/>
          <w:color w:val="2C2D2E"/>
          <w:sz w:val="28"/>
          <w:shd w:val="clear" w:color="auto" w:fill="FFFFFF"/>
        </w:rPr>
        <w:t>Мд_</w:t>
      </w:r>
      <w:r w:rsidRPr="002A6561">
        <w:rPr>
          <w:rFonts w:ascii="Times New Roman" w:hAnsi="Times New Roman" w:cs="Times New Roman"/>
          <w:color w:val="2C2D2E"/>
          <w:sz w:val="28"/>
          <w:shd w:val="clear" w:color="auto" w:fill="FFFFFF"/>
        </w:rPr>
        <w:t>КОРПОРАТИВНОЕ ОБУЧЕНИЕ И ЕГО ВЛИЯНИЕ НА КЛЮЧЕВЫЕ КОМПЕТЕНЦИИ СОТРУДНИКОВ ОРГАНИЗАЦИИ</w:t>
      </w:r>
    </w:p>
    <w:p w:rsidR="002A6561" w:rsidRDefault="002A6561" w:rsidP="002A6561">
      <w:pPr>
        <w:jc w:val="center"/>
        <w:rPr>
          <w:rFonts w:ascii="Times New Roman" w:hAnsi="Times New Roman" w:cs="Times New Roman"/>
          <w:color w:val="2C2D2E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hd w:val="clear" w:color="auto" w:fill="FFFFFF"/>
        </w:rPr>
        <w:t>Стр_84</w:t>
      </w:r>
    </w:p>
    <w:p w:rsidR="002A6561" w:rsidRPr="002A6561" w:rsidRDefault="002A6561" w:rsidP="002A6561">
      <w:pPr>
        <w:pStyle w:val="1"/>
        <w:tabs>
          <w:tab w:val="right" w:leader="dot" w:pos="9344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7155278" w:history="1">
        <w:r w:rsidRPr="002A6561">
          <w:rPr>
            <w:rStyle w:val="a3"/>
            <w:noProof/>
            <w:color w:val="auto"/>
            <w:sz w:val="28"/>
            <w:szCs w:val="28"/>
            <w:u w:val="none"/>
            <w:lang w:val="kk-KZ"/>
          </w:rPr>
          <w:t>ВВЕДЕНИЕ</w:t>
        </w:r>
      </w:hyperlink>
    </w:p>
    <w:p w:rsidR="002A6561" w:rsidRPr="002A6561" w:rsidRDefault="002A6561" w:rsidP="002A6561">
      <w:pPr>
        <w:pStyle w:val="1"/>
        <w:tabs>
          <w:tab w:val="right" w:leader="dot" w:pos="9344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7155280" w:history="1">
        <w:r w:rsidRPr="002A6561">
          <w:rPr>
            <w:rStyle w:val="a3"/>
            <w:noProof/>
            <w:color w:val="auto"/>
            <w:sz w:val="28"/>
            <w:szCs w:val="28"/>
            <w:u w:val="none"/>
            <w:lang w:val="kk-KZ"/>
          </w:rPr>
          <w:t>1. ТЕОРЕТИЧЕСКИЕ  ОСНОВЫ КОРПОРАТИВНОГО ОБУЧЕНИЯ</w:t>
        </w:r>
      </w:hyperlink>
    </w:p>
    <w:bookmarkStart w:id="0" w:name="_Hlk137977367"/>
    <w:p w:rsidR="002A6561" w:rsidRPr="002A6561" w:rsidRDefault="002A6561" w:rsidP="002A6561">
      <w:pPr>
        <w:pStyle w:val="1"/>
        <w:tabs>
          <w:tab w:val="right" w:leader="dot" w:pos="9344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2A6561">
        <w:fldChar w:fldCharType="begin"/>
      </w:r>
      <w:r w:rsidRPr="002A6561">
        <w:instrText>HYPERLINK \l "_Toc137155281"</w:instrText>
      </w:r>
      <w:r w:rsidRPr="002A6561">
        <w:fldChar w:fldCharType="separate"/>
      </w:r>
      <w:r w:rsidRPr="002A6561">
        <w:rPr>
          <w:rStyle w:val="a3"/>
          <w:noProof/>
          <w:color w:val="auto"/>
          <w:sz w:val="28"/>
          <w:szCs w:val="28"/>
          <w:u w:val="none"/>
        </w:rPr>
        <w:t xml:space="preserve">1.1. </w:t>
      </w:r>
      <w:r w:rsidRPr="002A6561">
        <w:rPr>
          <w:rStyle w:val="a3"/>
          <w:noProof/>
          <w:color w:val="auto"/>
          <w:sz w:val="28"/>
          <w:szCs w:val="28"/>
          <w:u w:val="none"/>
          <w:lang w:val="kk-KZ"/>
        </w:rPr>
        <w:t>Компетенции и компетентность</w:t>
      </w:r>
      <w:r w:rsidRPr="002A6561">
        <w:rPr>
          <w:rStyle w:val="a3"/>
          <w:noProof/>
          <w:color w:val="auto"/>
          <w:sz w:val="28"/>
          <w:szCs w:val="28"/>
          <w:u w:val="none"/>
        </w:rPr>
        <w:t xml:space="preserve">: </w:t>
      </w:r>
      <w:r w:rsidRPr="002A6561">
        <w:rPr>
          <w:rStyle w:val="a3"/>
          <w:noProof/>
          <w:color w:val="auto"/>
          <w:sz w:val="28"/>
          <w:szCs w:val="28"/>
          <w:u w:val="none"/>
          <w:lang w:val="kk-KZ"/>
        </w:rPr>
        <w:t>определение</w:t>
      </w:r>
      <w:r w:rsidRPr="002A6561">
        <w:rPr>
          <w:rStyle w:val="a3"/>
          <w:noProof/>
          <w:color w:val="auto"/>
          <w:sz w:val="28"/>
          <w:szCs w:val="28"/>
          <w:u w:val="none"/>
        </w:rPr>
        <w:t>,</w:t>
      </w:r>
      <w:r w:rsidRPr="002A6561">
        <w:rPr>
          <w:rStyle w:val="a3"/>
          <w:noProof/>
          <w:color w:val="auto"/>
          <w:sz w:val="28"/>
          <w:szCs w:val="28"/>
          <w:u w:val="none"/>
          <w:lang w:val="kk-KZ"/>
        </w:rPr>
        <w:t xml:space="preserve"> различия и научные подходы</w:t>
      </w:r>
      <w:r w:rsidRPr="002A6561">
        <w:rPr>
          <w:noProof/>
          <w:sz w:val="28"/>
          <w:szCs w:val="28"/>
        </w:rPr>
        <w:fldChar w:fldCharType="end"/>
      </w:r>
    </w:p>
    <w:p w:rsidR="002A6561" w:rsidRPr="002A6561" w:rsidRDefault="002A6561" w:rsidP="002A6561">
      <w:pPr>
        <w:pStyle w:val="1"/>
        <w:tabs>
          <w:tab w:val="right" w:leader="dot" w:pos="9344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7155282" w:history="1">
        <w:r w:rsidRPr="002A6561">
          <w:rPr>
            <w:rStyle w:val="a3"/>
            <w:noProof/>
            <w:color w:val="auto"/>
            <w:sz w:val="28"/>
            <w:szCs w:val="28"/>
            <w:u w:val="none"/>
          </w:rPr>
          <w:t xml:space="preserve">1.2. </w:t>
        </w:r>
        <w:r w:rsidRPr="002A6561">
          <w:rPr>
            <w:rStyle w:val="a3"/>
            <w:noProof/>
            <w:color w:val="auto"/>
            <w:sz w:val="28"/>
            <w:szCs w:val="28"/>
            <w:u w:val="none"/>
            <w:lang w:val="kk-KZ"/>
          </w:rPr>
          <w:t>Соотношение профессиональной компетентности, профессиональных компетенций и профессионализма</w:t>
        </w:r>
      </w:hyperlink>
    </w:p>
    <w:bookmarkEnd w:id="0"/>
    <w:p w:rsidR="002A6561" w:rsidRPr="002A6561" w:rsidRDefault="002A6561" w:rsidP="002A6561">
      <w:pPr>
        <w:pStyle w:val="1"/>
        <w:tabs>
          <w:tab w:val="right" w:leader="dot" w:pos="9344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2A6561">
        <w:fldChar w:fldCharType="begin"/>
      </w:r>
      <w:r w:rsidRPr="002A6561">
        <w:instrText>HYPERLINK \l "_Toc137155287"</w:instrText>
      </w:r>
      <w:r w:rsidRPr="002A6561">
        <w:fldChar w:fldCharType="separate"/>
      </w:r>
      <w:r w:rsidRPr="002A6561">
        <w:rPr>
          <w:rStyle w:val="a3"/>
          <w:noProof/>
          <w:color w:val="auto"/>
          <w:sz w:val="28"/>
          <w:szCs w:val="28"/>
          <w:u w:val="none"/>
        </w:rPr>
        <w:t xml:space="preserve">1.3. </w:t>
      </w:r>
      <w:r w:rsidRPr="002A6561">
        <w:rPr>
          <w:rStyle w:val="a3"/>
          <w:noProof/>
          <w:color w:val="auto"/>
          <w:sz w:val="28"/>
          <w:szCs w:val="28"/>
          <w:u w:val="none"/>
          <w:lang w:val="kk-KZ"/>
        </w:rPr>
        <w:t>Управление ключевыми компетенциями персонала в контексте организационного развития международной практики</w:t>
      </w:r>
      <w:r w:rsidRPr="002A6561">
        <w:rPr>
          <w:noProof/>
          <w:sz w:val="28"/>
          <w:szCs w:val="28"/>
        </w:rPr>
        <w:fldChar w:fldCharType="end"/>
      </w:r>
    </w:p>
    <w:p w:rsidR="002A6561" w:rsidRPr="002A6561" w:rsidRDefault="002A6561" w:rsidP="002A6561">
      <w:pPr>
        <w:pStyle w:val="1"/>
        <w:tabs>
          <w:tab w:val="right" w:leader="dot" w:pos="9344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7155292" w:history="1">
        <w:r w:rsidRPr="002A6561">
          <w:rPr>
            <w:rStyle w:val="a3"/>
            <w:noProof/>
            <w:color w:val="auto"/>
            <w:sz w:val="28"/>
            <w:szCs w:val="28"/>
            <w:u w:val="none"/>
            <w:lang w:val="kk-KZ"/>
          </w:rPr>
          <w:t>2. АНАЛИЗ И ОЦЕНКА СИСТЕМЫ КОРПОРАТИВНОГО  ОБУЧЕНИЯ В КАЗАХСТАНЕ</w:t>
        </w:r>
      </w:hyperlink>
    </w:p>
    <w:p w:rsidR="002A6561" w:rsidRPr="002A6561" w:rsidRDefault="002A6561" w:rsidP="002A6561">
      <w:pPr>
        <w:pStyle w:val="1"/>
        <w:tabs>
          <w:tab w:val="right" w:leader="dot" w:pos="9344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7155293" w:history="1">
        <w:r w:rsidRPr="002A6561">
          <w:rPr>
            <w:rStyle w:val="a3"/>
            <w:noProof/>
            <w:color w:val="auto"/>
            <w:sz w:val="28"/>
            <w:szCs w:val="28"/>
            <w:u w:val="none"/>
            <w:lang w:val="kk-KZ"/>
          </w:rPr>
          <w:t>2.1. Обзор общих тенденций и методов корпоративного обучения в Республике Казахста</w:t>
        </w:r>
      </w:hyperlink>
    </w:p>
    <w:p w:rsidR="002A6561" w:rsidRPr="002A6561" w:rsidRDefault="002A6561" w:rsidP="002A6561">
      <w:pPr>
        <w:pStyle w:val="1"/>
        <w:tabs>
          <w:tab w:val="right" w:leader="dot" w:pos="9344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7155294" w:history="1">
        <w:r w:rsidRPr="002A6561">
          <w:rPr>
            <w:rStyle w:val="a3"/>
            <w:noProof/>
            <w:color w:val="auto"/>
            <w:sz w:val="28"/>
            <w:szCs w:val="28"/>
            <w:u w:val="none"/>
            <w:lang w:val="kk-KZ"/>
          </w:rPr>
          <w:t>2.2. Оценка  моделей  корпоративного обучения в рамках применения андрагогики и хьютагогики</w:t>
        </w:r>
      </w:hyperlink>
    </w:p>
    <w:p w:rsidR="002A6561" w:rsidRPr="002A6561" w:rsidRDefault="002A6561" w:rsidP="002A6561">
      <w:pPr>
        <w:pStyle w:val="1"/>
        <w:tabs>
          <w:tab w:val="right" w:leader="dot" w:pos="9344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7155295" w:history="1">
        <w:r w:rsidRPr="002A6561">
          <w:rPr>
            <w:rStyle w:val="a3"/>
            <w:noProof/>
            <w:color w:val="auto"/>
            <w:sz w:val="28"/>
            <w:szCs w:val="28"/>
            <w:u w:val="none"/>
            <w:lang w:val="kk-KZ"/>
          </w:rPr>
          <w:t>2.3. Анализ применения цифровых компетенций в трансформации профессионального образования в Казахстане</w:t>
        </w:r>
      </w:hyperlink>
    </w:p>
    <w:p w:rsidR="002A6561" w:rsidRPr="002A6561" w:rsidRDefault="002A6561" w:rsidP="002A6561">
      <w:pPr>
        <w:pStyle w:val="1"/>
        <w:tabs>
          <w:tab w:val="right" w:leader="dot" w:pos="9344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7155296" w:history="1">
        <w:r w:rsidRPr="002A6561">
          <w:rPr>
            <w:rStyle w:val="a3"/>
            <w:noProof/>
            <w:color w:val="auto"/>
            <w:sz w:val="28"/>
            <w:szCs w:val="28"/>
            <w:u w:val="none"/>
            <w:lang w:val="kk-KZ"/>
          </w:rPr>
          <w:t>3. ПУТИ УЛУЧШЕНИЯ КОРПОРАТИВНОГО ОБУЧЕНИЯ В РК</w:t>
        </w:r>
      </w:hyperlink>
    </w:p>
    <w:p w:rsidR="002A6561" w:rsidRPr="002A6561" w:rsidRDefault="002A6561" w:rsidP="002A6561">
      <w:pPr>
        <w:pStyle w:val="1"/>
        <w:tabs>
          <w:tab w:val="right" w:leader="dot" w:pos="9344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7155297" w:history="1">
        <w:r w:rsidRPr="002A6561">
          <w:rPr>
            <w:rStyle w:val="a3"/>
            <w:noProof/>
            <w:color w:val="auto"/>
            <w:sz w:val="28"/>
            <w:szCs w:val="28"/>
            <w:u w:val="none"/>
            <w:lang w:val="kk-KZ"/>
          </w:rPr>
          <w:t>3.1. Инновационные  модели корпоративного обучения в рамках процесса управления компетенциями персонала</w:t>
        </w:r>
      </w:hyperlink>
    </w:p>
    <w:p w:rsidR="002A6561" w:rsidRPr="002A6561" w:rsidRDefault="002A6561" w:rsidP="002A6561">
      <w:pPr>
        <w:pStyle w:val="1"/>
        <w:tabs>
          <w:tab w:val="right" w:leader="dot" w:pos="9344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7155298" w:history="1">
        <w:r w:rsidRPr="002A6561">
          <w:rPr>
            <w:rStyle w:val="a3"/>
            <w:noProof/>
            <w:color w:val="auto"/>
            <w:sz w:val="28"/>
            <w:szCs w:val="28"/>
            <w:u w:val="none"/>
            <w:lang w:val="kk-KZ"/>
          </w:rPr>
          <w:t>3.2. Механизмы стимулирования и мотивации персонала к развитию профессиональных компетенций</w:t>
        </w:r>
      </w:hyperlink>
    </w:p>
    <w:p w:rsidR="002A6561" w:rsidRPr="002A6561" w:rsidRDefault="002A6561" w:rsidP="002A6561">
      <w:pPr>
        <w:pStyle w:val="1"/>
        <w:tabs>
          <w:tab w:val="right" w:leader="dot" w:pos="9344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7155299" w:history="1">
        <w:r w:rsidRPr="002A6561">
          <w:rPr>
            <w:rStyle w:val="a3"/>
            <w:noProof/>
            <w:color w:val="auto"/>
            <w:sz w:val="28"/>
            <w:szCs w:val="28"/>
            <w:u w:val="none"/>
            <w:lang w:val="kk-KZ"/>
          </w:rPr>
          <w:t>3.3. Практические инструменты и технологии корпоративного обучения в цифровую эпоху</w:t>
        </w:r>
      </w:hyperlink>
    </w:p>
    <w:p w:rsidR="002A6561" w:rsidRPr="002A6561" w:rsidRDefault="002A6561" w:rsidP="002A6561">
      <w:pPr>
        <w:pStyle w:val="1"/>
        <w:tabs>
          <w:tab w:val="right" w:leader="dot" w:pos="9344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7155300" w:history="1">
        <w:r w:rsidRPr="002A6561">
          <w:rPr>
            <w:rStyle w:val="a3"/>
            <w:noProof/>
            <w:color w:val="auto"/>
            <w:sz w:val="28"/>
            <w:szCs w:val="28"/>
            <w:u w:val="none"/>
            <w:lang w:val="kk-KZ"/>
          </w:rPr>
          <w:t>ЗАКЛЮЧЕНИЕ</w:t>
        </w:r>
      </w:hyperlink>
    </w:p>
    <w:p w:rsidR="002A6561" w:rsidRPr="002A6561" w:rsidRDefault="002A6561" w:rsidP="002A6561">
      <w:pPr>
        <w:pStyle w:val="1"/>
        <w:tabs>
          <w:tab w:val="right" w:leader="dot" w:pos="9344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7155301" w:history="1">
        <w:r w:rsidRPr="002A6561">
          <w:rPr>
            <w:rStyle w:val="a3"/>
            <w:noProof/>
            <w:color w:val="auto"/>
            <w:sz w:val="28"/>
            <w:szCs w:val="28"/>
            <w:u w:val="none"/>
            <w:lang w:val="kk-KZ"/>
          </w:rPr>
          <w:t>СПИСОК ИСПОЛЬЗОВАННОЙ ЛИТЕРАТУРЫ</w:t>
        </w:r>
      </w:hyperlink>
    </w:p>
    <w:p w:rsidR="002A6561" w:rsidRDefault="002A6561" w:rsidP="002A6561">
      <w:pPr>
        <w:rPr>
          <w:rFonts w:ascii="Times New Roman" w:hAnsi="Times New Roman" w:cs="Times New Roman"/>
        </w:rPr>
      </w:pPr>
    </w:p>
    <w:p w:rsidR="002A6561" w:rsidRDefault="002A6561" w:rsidP="002A6561">
      <w:pPr>
        <w:rPr>
          <w:rFonts w:ascii="Times New Roman" w:hAnsi="Times New Roman" w:cs="Times New Roman"/>
        </w:rPr>
      </w:pPr>
    </w:p>
    <w:p w:rsidR="002A6561" w:rsidRDefault="002A6561" w:rsidP="002A6561">
      <w:pPr>
        <w:rPr>
          <w:rFonts w:ascii="Times New Roman" w:hAnsi="Times New Roman" w:cs="Times New Roman"/>
        </w:rPr>
      </w:pPr>
    </w:p>
    <w:p w:rsidR="002A6561" w:rsidRDefault="002A6561" w:rsidP="002A6561">
      <w:pPr>
        <w:rPr>
          <w:rFonts w:ascii="Times New Roman" w:hAnsi="Times New Roman" w:cs="Times New Roman"/>
        </w:rPr>
      </w:pPr>
    </w:p>
    <w:p w:rsidR="002A6561" w:rsidRDefault="002A6561" w:rsidP="002A6561">
      <w:pPr>
        <w:rPr>
          <w:rFonts w:ascii="Times New Roman" w:hAnsi="Times New Roman" w:cs="Times New Roman"/>
        </w:rPr>
      </w:pPr>
    </w:p>
    <w:p w:rsidR="002A6561" w:rsidRDefault="002A6561" w:rsidP="002A6561">
      <w:pPr>
        <w:rPr>
          <w:rFonts w:ascii="Times New Roman" w:hAnsi="Times New Roman" w:cs="Times New Roman"/>
        </w:rPr>
      </w:pPr>
    </w:p>
    <w:p w:rsidR="002A6561" w:rsidRDefault="002A6561" w:rsidP="002A6561">
      <w:pPr>
        <w:rPr>
          <w:rFonts w:ascii="Times New Roman" w:hAnsi="Times New Roman" w:cs="Times New Roman"/>
        </w:rPr>
      </w:pPr>
    </w:p>
    <w:p w:rsidR="002A6561" w:rsidRDefault="002A6561" w:rsidP="002A6561">
      <w:pPr>
        <w:rPr>
          <w:rFonts w:ascii="Times New Roman" w:hAnsi="Times New Roman" w:cs="Times New Roman"/>
        </w:rPr>
      </w:pPr>
    </w:p>
    <w:p w:rsidR="002A6561" w:rsidRDefault="002A6561" w:rsidP="002A6561">
      <w:pPr>
        <w:rPr>
          <w:rFonts w:ascii="Times New Roman" w:hAnsi="Times New Roman" w:cs="Times New Roman"/>
        </w:rPr>
      </w:pPr>
    </w:p>
    <w:p w:rsidR="002A6561" w:rsidRDefault="002A6561" w:rsidP="002A6561">
      <w:pPr>
        <w:rPr>
          <w:rFonts w:ascii="Times New Roman" w:hAnsi="Times New Roman" w:cs="Times New Roman"/>
        </w:rPr>
      </w:pPr>
    </w:p>
    <w:p w:rsidR="002A6561" w:rsidRDefault="002A6561" w:rsidP="002A6561">
      <w:pPr>
        <w:rPr>
          <w:rFonts w:ascii="Times New Roman" w:hAnsi="Times New Roman" w:cs="Times New Roman"/>
        </w:rPr>
      </w:pPr>
    </w:p>
    <w:p w:rsidR="002A6561" w:rsidRDefault="002A6561" w:rsidP="002A6561">
      <w:pPr>
        <w:rPr>
          <w:rFonts w:ascii="Times New Roman" w:hAnsi="Times New Roman" w:cs="Times New Roman"/>
        </w:rPr>
      </w:pPr>
    </w:p>
    <w:p w:rsidR="002A6561" w:rsidRPr="009022B6" w:rsidRDefault="002A6561" w:rsidP="002A6561">
      <w:pPr>
        <w:pStyle w:val="a4"/>
        <w:spacing w:after="0"/>
        <w:jc w:val="center"/>
        <w:outlineLvl w:val="0"/>
        <w:rPr>
          <w:b/>
          <w:bCs w:val="0"/>
          <w:sz w:val="28"/>
          <w:lang w:val="kk-KZ"/>
        </w:rPr>
      </w:pPr>
      <w:bookmarkStart w:id="1" w:name="_Toc137155300"/>
      <w:r w:rsidRPr="009022B6">
        <w:rPr>
          <w:b/>
          <w:bCs w:val="0"/>
          <w:sz w:val="28"/>
          <w:lang w:val="kk-KZ"/>
        </w:rPr>
        <w:lastRenderedPageBreak/>
        <w:t>ЗАКЛЮЧЕНИЕ</w:t>
      </w:r>
      <w:bookmarkEnd w:id="1"/>
    </w:p>
    <w:p w:rsidR="002A6561" w:rsidRDefault="002A6561" w:rsidP="002A6561">
      <w:pPr>
        <w:ind w:firstLine="540"/>
        <w:jc w:val="both"/>
        <w:rPr>
          <w:color w:val="000000"/>
          <w:sz w:val="28"/>
        </w:rPr>
      </w:pPr>
    </w:p>
    <w:p w:rsidR="002A6561" w:rsidRPr="002A6561" w:rsidRDefault="002A6561" w:rsidP="002A6561">
      <w:pPr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2A6561">
        <w:rPr>
          <w:rFonts w:ascii="Times New Roman" w:hAnsi="Times New Roman" w:cs="Times New Roman"/>
          <w:color w:val="000000"/>
          <w:sz w:val="28"/>
        </w:rPr>
        <w:t>Проведенное в данной работе исследование позволило сделать следующие выводы и рекомендации:</w:t>
      </w:r>
    </w:p>
    <w:p w:rsidR="002A6561" w:rsidRPr="002A6561" w:rsidRDefault="002A6561" w:rsidP="002A6561">
      <w:pPr>
        <w:pStyle w:val="a4"/>
        <w:spacing w:after="0"/>
        <w:ind w:firstLine="540"/>
        <w:jc w:val="both"/>
        <w:rPr>
          <w:bCs w:val="0"/>
          <w:sz w:val="28"/>
          <w:lang w:val="kk-KZ"/>
        </w:rPr>
      </w:pPr>
      <w:r w:rsidRPr="002A6561">
        <w:rPr>
          <w:bCs w:val="0"/>
          <w:sz w:val="28"/>
          <w:lang w:val="kk-KZ"/>
        </w:rPr>
        <w:t>Компетентность и компетенция являются взаимосвязанными, но нетождественными понятиями, при этом «компетентность» является понятием более широким, чем «компетенция». Компетенции являются сочетанием свойств, определяющих требования к специалисту, это система потенциальных знаний, умений, навыков, поведенческих образцов, необходимых для качественной продуктивной деятельности человека. Компетентность основана на компетенциях, которые являются ее основой. В отличие от компетенций, компетентности включают в себя не потенциальные, а актуализированные способности личности к эффективной деятельности в заданной сфере на основании приобретенного опыта. Компетентность проявляется в процессе профессиональной деятельности, она основана на компетенциях. Компетентности, как интегративному качеству, присущи эмерджентность и субъектность. Именно совокупное функционирование ее взаимосвязанных элементов порождает качественно новые функциональные свойства (эмерджентность). Компетентность всегда личностно окрашена качествами конкретного человека, является продуктом обучения и приобретения им индивидуального опыта (субъектность).</w:t>
      </w:r>
    </w:p>
    <w:p w:rsidR="002A6561" w:rsidRDefault="002A6561" w:rsidP="002A6561">
      <w:pPr>
        <w:rPr>
          <w:rFonts w:ascii="Times New Roman" w:hAnsi="Times New Roman" w:cs="Times New Roman"/>
          <w:lang w:val="kk-KZ"/>
        </w:rPr>
      </w:pPr>
    </w:p>
    <w:p w:rsidR="002A6561" w:rsidRDefault="002A6561" w:rsidP="002A6561">
      <w:pPr>
        <w:rPr>
          <w:rFonts w:ascii="Times New Roman" w:hAnsi="Times New Roman" w:cs="Times New Roman"/>
          <w:lang w:val="kk-KZ"/>
        </w:rPr>
      </w:pPr>
    </w:p>
    <w:p w:rsidR="002A6561" w:rsidRDefault="002A6561" w:rsidP="002A6561">
      <w:pPr>
        <w:rPr>
          <w:rFonts w:ascii="Times New Roman" w:hAnsi="Times New Roman" w:cs="Times New Roman"/>
          <w:lang w:val="kk-KZ"/>
        </w:rPr>
      </w:pPr>
    </w:p>
    <w:p w:rsidR="002A6561" w:rsidRDefault="002A6561" w:rsidP="002A6561">
      <w:pPr>
        <w:rPr>
          <w:rFonts w:ascii="Times New Roman" w:hAnsi="Times New Roman" w:cs="Times New Roman"/>
          <w:lang w:val="kk-KZ"/>
        </w:rPr>
      </w:pPr>
    </w:p>
    <w:p w:rsidR="002A6561" w:rsidRDefault="002A6561" w:rsidP="002A6561">
      <w:pPr>
        <w:rPr>
          <w:rFonts w:ascii="Times New Roman" w:hAnsi="Times New Roman" w:cs="Times New Roman"/>
          <w:lang w:val="kk-KZ"/>
        </w:rPr>
      </w:pPr>
    </w:p>
    <w:p w:rsidR="002A6561" w:rsidRDefault="002A6561" w:rsidP="002A6561">
      <w:pPr>
        <w:rPr>
          <w:rFonts w:ascii="Times New Roman" w:hAnsi="Times New Roman" w:cs="Times New Roman"/>
          <w:lang w:val="kk-KZ"/>
        </w:rPr>
      </w:pPr>
    </w:p>
    <w:p w:rsidR="002A6561" w:rsidRDefault="002A6561" w:rsidP="002A6561">
      <w:pPr>
        <w:rPr>
          <w:rFonts w:ascii="Times New Roman" w:hAnsi="Times New Roman" w:cs="Times New Roman"/>
          <w:lang w:val="kk-KZ"/>
        </w:rPr>
      </w:pPr>
    </w:p>
    <w:p w:rsidR="002A6561" w:rsidRDefault="002A6561" w:rsidP="002A6561">
      <w:pPr>
        <w:rPr>
          <w:rFonts w:ascii="Times New Roman" w:hAnsi="Times New Roman" w:cs="Times New Roman"/>
          <w:lang w:val="kk-KZ"/>
        </w:rPr>
      </w:pPr>
    </w:p>
    <w:p w:rsidR="002A6561" w:rsidRDefault="002A6561" w:rsidP="002A6561">
      <w:pPr>
        <w:rPr>
          <w:rFonts w:ascii="Times New Roman" w:hAnsi="Times New Roman" w:cs="Times New Roman"/>
          <w:lang w:val="kk-KZ"/>
        </w:rPr>
      </w:pPr>
    </w:p>
    <w:p w:rsidR="002A6561" w:rsidRDefault="002A6561" w:rsidP="002A6561">
      <w:pPr>
        <w:rPr>
          <w:rFonts w:ascii="Times New Roman" w:hAnsi="Times New Roman" w:cs="Times New Roman"/>
          <w:lang w:val="kk-KZ"/>
        </w:rPr>
      </w:pPr>
    </w:p>
    <w:p w:rsidR="002A6561" w:rsidRDefault="002A6561" w:rsidP="002A6561">
      <w:pPr>
        <w:rPr>
          <w:rFonts w:ascii="Times New Roman" w:hAnsi="Times New Roman" w:cs="Times New Roman"/>
          <w:lang w:val="kk-KZ"/>
        </w:rPr>
      </w:pPr>
    </w:p>
    <w:p w:rsidR="002A6561" w:rsidRDefault="002A6561" w:rsidP="002A6561">
      <w:pPr>
        <w:rPr>
          <w:rFonts w:ascii="Times New Roman" w:hAnsi="Times New Roman" w:cs="Times New Roman"/>
          <w:lang w:val="kk-KZ"/>
        </w:rPr>
      </w:pPr>
    </w:p>
    <w:p w:rsidR="002A6561" w:rsidRDefault="002A6561" w:rsidP="002A6561">
      <w:pPr>
        <w:rPr>
          <w:rFonts w:ascii="Times New Roman" w:hAnsi="Times New Roman" w:cs="Times New Roman"/>
          <w:lang w:val="kk-KZ"/>
        </w:rPr>
      </w:pPr>
    </w:p>
    <w:p w:rsidR="002A6561" w:rsidRDefault="002A6561" w:rsidP="002A6561">
      <w:pPr>
        <w:rPr>
          <w:rFonts w:ascii="Times New Roman" w:hAnsi="Times New Roman" w:cs="Times New Roman"/>
          <w:lang w:val="kk-KZ"/>
        </w:rPr>
      </w:pPr>
    </w:p>
    <w:p w:rsidR="002A6561" w:rsidRDefault="002A6561" w:rsidP="002A6561">
      <w:pPr>
        <w:rPr>
          <w:rFonts w:ascii="Times New Roman" w:hAnsi="Times New Roman" w:cs="Times New Roman"/>
          <w:lang w:val="kk-KZ"/>
        </w:rPr>
      </w:pPr>
    </w:p>
    <w:p w:rsidR="002A6561" w:rsidRDefault="002A6561" w:rsidP="002A6561">
      <w:pPr>
        <w:rPr>
          <w:rFonts w:ascii="Times New Roman" w:hAnsi="Times New Roman" w:cs="Times New Roman"/>
          <w:lang w:val="kk-KZ"/>
        </w:rPr>
      </w:pPr>
    </w:p>
    <w:p w:rsidR="002A6561" w:rsidRDefault="002A6561" w:rsidP="002A6561">
      <w:pPr>
        <w:rPr>
          <w:rFonts w:ascii="Times New Roman" w:hAnsi="Times New Roman" w:cs="Times New Roman"/>
          <w:lang w:val="kk-KZ"/>
        </w:rPr>
      </w:pPr>
    </w:p>
    <w:p w:rsidR="002A6561" w:rsidRPr="009022B6" w:rsidRDefault="002A6561" w:rsidP="002A6561">
      <w:pPr>
        <w:pStyle w:val="a4"/>
        <w:spacing w:after="0"/>
        <w:jc w:val="center"/>
        <w:outlineLvl w:val="0"/>
        <w:rPr>
          <w:b/>
          <w:bCs w:val="0"/>
          <w:sz w:val="28"/>
          <w:lang w:val="kk-KZ"/>
        </w:rPr>
      </w:pPr>
      <w:bookmarkStart w:id="2" w:name="_Toc137155301"/>
      <w:r w:rsidRPr="009022B6">
        <w:rPr>
          <w:b/>
          <w:bCs w:val="0"/>
          <w:sz w:val="28"/>
          <w:lang w:val="kk-KZ"/>
        </w:rPr>
        <w:lastRenderedPageBreak/>
        <w:t>СПИСОК ИСПОЛЬЗОВАННОЙ ЛИТЕРАТУРЫ</w:t>
      </w:r>
      <w:bookmarkEnd w:id="2"/>
    </w:p>
    <w:p w:rsidR="002A6561" w:rsidRPr="00183A1A" w:rsidRDefault="002A6561" w:rsidP="002A6561">
      <w:pPr>
        <w:tabs>
          <w:tab w:val="left" w:pos="993"/>
        </w:tabs>
        <w:jc w:val="center"/>
        <w:rPr>
          <w:sz w:val="28"/>
          <w:lang w:eastAsia="ru-RU"/>
        </w:rPr>
      </w:pPr>
    </w:p>
    <w:p w:rsidR="002A6561" w:rsidRDefault="002A6561" w:rsidP="002A6561">
      <w:pPr>
        <w:pStyle w:val="a6"/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sz w:val="28"/>
        </w:rPr>
      </w:pPr>
      <w:r w:rsidRPr="00CA7D0F">
        <w:rPr>
          <w:rFonts w:eastAsia="Calibri"/>
          <w:sz w:val="28"/>
        </w:rPr>
        <w:t xml:space="preserve">Ибрагимов Х. К проблеме понятий "компетентность" и "компетенция" // Вестник Таджикского национального университета. – 2019. – № 9. – С. 263-267. </w:t>
      </w:r>
    </w:p>
    <w:p w:rsidR="002A6561" w:rsidRDefault="002A6561" w:rsidP="002A6561">
      <w:pPr>
        <w:pStyle w:val="a6"/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sz w:val="28"/>
        </w:rPr>
      </w:pPr>
      <w:proofErr w:type="spellStart"/>
      <w:r>
        <w:rPr>
          <w:rFonts w:eastAsia="Calibri"/>
          <w:sz w:val="28"/>
        </w:rPr>
        <w:t>Гузеев</w:t>
      </w:r>
      <w:proofErr w:type="spellEnd"/>
      <w:r>
        <w:rPr>
          <w:rFonts w:eastAsia="Calibri"/>
          <w:sz w:val="28"/>
        </w:rPr>
        <w:t xml:space="preserve"> </w:t>
      </w:r>
      <w:r w:rsidRPr="00CA7D0F">
        <w:rPr>
          <w:rFonts w:eastAsia="Calibri"/>
          <w:sz w:val="28"/>
        </w:rPr>
        <w:t xml:space="preserve">М. С. Компаративный анализ подходов к дефиниции понятия "компетенция" и "компетентность" // </w:t>
      </w:r>
      <w:proofErr w:type="spellStart"/>
      <w:r w:rsidRPr="00CA7D0F">
        <w:rPr>
          <w:rFonts w:eastAsia="Calibri"/>
          <w:sz w:val="28"/>
        </w:rPr>
        <w:t>Антропогогика</w:t>
      </w:r>
      <w:proofErr w:type="spellEnd"/>
      <w:r w:rsidRPr="00CA7D0F">
        <w:rPr>
          <w:rFonts w:eastAsia="Calibri"/>
          <w:sz w:val="28"/>
        </w:rPr>
        <w:t xml:space="preserve">. – 2021. – № 1(1). – С. 4-8. </w:t>
      </w:r>
    </w:p>
    <w:p w:rsidR="002A6561" w:rsidRDefault="002A6561" w:rsidP="002A6561">
      <w:pPr>
        <w:pStyle w:val="a6"/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sz w:val="28"/>
        </w:rPr>
      </w:pPr>
      <w:proofErr w:type="spellStart"/>
      <w:r w:rsidRPr="006E69FE">
        <w:rPr>
          <w:rFonts w:eastAsia="Calibri"/>
          <w:sz w:val="28"/>
        </w:rPr>
        <w:t>Манукова</w:t>
      </w:r>
      <w:proofErr w:type="spellEnd"/>
      <w:r w:rsidRPr="006E69FE">
        <w:rPr>
          <w:rFonts w:eastAsia="Calibri"/>
          <w:sz w:val="28"/>
        </w:rPr>
        <w:t xml:space="preserve">, Е. А. Эволюция развития понятия компетенции, подходы к анализу / Е. А. </w:t>
      </w:r>
      <w:proofErr w:type="spellStart"/>
      <w:r w:rsidRPr="006E69FE">
        <w:rPr>
          <w:rFonts w:eastAsia="Calibri"/>
          <w:sz w:val="28"/>
        </w:rPr>
        <w:t>Манукова</w:t>
      </w:r>
      <w:proofErr w:type="spellEnd"/>
      <w:r w:rsidRPr="006E69FE">
        <w:rPr>
          <w:rFonts w:eastAsia="Calibri"/>
          <w:sz w:val="28"/>
        </w:rPr>
        <w:t>, В. С. Дронов //</w:t>
      </w:r>
      <w:r>
        <w:rPr>
          <w:rFonts w:eastAsia="Calibri"/>
          <w:sz w:val="28"/>
        </w:rPr>
        <w:t xml:space="preserve"> Актуальные научные исследования в современном мире</w:t>
      </w:r>
      <w:r w:rsidRPr="006E69FE">
        <w:rPr>
          <w:rFonts w:eastAsia="Calibri"/>
          <w:sz w:val="28"/>
        </w:rPr>
        <w:t xml:space="preserve">. – 2020. – № 6-4(62). – С. 111-113. </w:t>
      </w:r>
    </w:p>
    <w:p w:rsidR="002A6561" w:rsidRDefault="002A6561" w:rsidP="002A6561">
      <w:pPr>
        <w:pStyle w:val="a6"/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sz w:val="28"/>
        </w:rPr>
      </w:pPr>
      <w:r w:rsidRPr="00CA7D0F">
        <w:rPr>
          <w:rFonts w:eastAsia="Calibri"/>
          <w:sz w:val="28"/>
        </w:rPr>
        <w:t xml:space="preserve">Ниязова А. М. Компетенция и компетентность как ключевые понятия в контексте </w:t>
      </w:r>
      <w:proofErr w:type="spellStart"/>
      <w:r w:rsidRPr="00CA7D0F">
        <w:rPr>
          <w:rFonts w:eastAsia="Calibri"/>
          <w:sz w:val="28"/>
        </w:rPr>
        <w:t>компетентностного</w:t>
      </w:r>
      <w:proofErr w:type="spellEnd"/>
      <w:r w:rsidRPr="00CA7D0F">
        <w:rPr>
          <w:rFonts w:eastAsia="Calibri"/>
          <w:sz w:val="28"/>
        </w:rPr>
        <w:t xml:space="preserve"> подхода // Известия </w:t>
      </w:r>
      <w:proofErr w:type="spellStart"/>
      <w:r w:rsidRPr="00CA7D0F">
        <w:rPr>
          <w:rFonts w:eastAsia="Calibri"/>
          <w:sz w:val="28"/>
        </w:rPr>
        <w:t>Кыргызской</w:t>
      </w:r>
      <w:proofErr w:type="spellEnd"/>
      <w:r w:rsidRPr="00CA7D0F">
        <w:rPr>
          <w:rFonts w:eastAsia="Calibri"/>
          <w:sz w:val="28"/>
        </w:rPr>
        <w:t xml:space="preserve"> академии образования. – 2020. – № 2(51). – С. 21-24. </w:t>
      </w:r>
    </w:p>
    <w:p w:rsidR="002A6561" w:rsidRDefault="002A6561" w:rsidP="002A6561">
      <w:pPr>
        <w:pStyle w:val="a6"/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sz w:val="28"/>
        </w:rPr>
      </w:pPr>
      <w:r w:rsidRPr="00CA7D0F">
        <w:rPr>
          <w:rFonts w:eastAsia="Calibri"/>
          <w:sz w:val="28"/>
        </w:rPr>
        <w:t xml:space="preserve">Кириллова В. Н. Сравнительный анализ понятий "компетентность" и "компетенция" в контексте тезаурусного подхода // Студенческий электронный журнал </w:t>
      </w:r>
      <w:proofErr w:type="spellStart"/>
      <w:r w:rsidRPr="00CA7D0F">
        <w:rPr>
          <w:rFonts w:eastAsia="Calibri"/>
          <w:sz w:val="28"/>
        </w:rPr>
        <w:t>СтРИЖ</w:t>
      </w:r>
      <w:proofErr w:type="spellEnd"/>
      <w:r w:rsidRPr="00CA7D0F">
        <w:rPr>
          <w:rFonts w:eastAsia="Calibri"/>
          <w:sz w:val="28"/>
        </w:rPr>
        <w:t xml:space="preserve">. – 2022. – № 5(46). – С. 32-36. </w:t>
      </w:r>
    </w:p>
    <w:p w:rsidR="002A6561" w:rsidRPr="002A6561" w:rsidRDefault="002A6561" w:rsidP="002A6561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2A6561" w:rsidRPr="002A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6F2B"/>
    <w:multiLevelType w:val="hybridMultilevel"/>
    <w:tmpl w:val="408C9D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79"/>
    <w:rsid w:val="002A6561"/>
    <w:rsid w:val="00823DBB"/>
    <w:rsid w:val="0096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8BD1"/>
  <w15:chartTrackingRefBased/>
  <w15:docId w15:val="{DA6784C0-2127-482D-82F0-DD8B0C03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6561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2A6561"/>
    <w:pPr>
      <w:spacing w:after="10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ody Text"/>
    <w:basedOn w:val="a"/>
    <w:link w:val="a5"/>
    <w:rsid w:val="002A6561"/>
    <w:pPr>
      <w:suppressAutoHyphens/>
      <w:spacing w:after="120" w:line="240" w:lineRule="auto"/>
    </w:pPr>
    <w:rPr>
      <w:rFonts w:ascii="Times New Roman" w:eastAsia="Times New Roman" w:hAnsi="Times New Roman" w:cs="Times New Roman"/>
      <w:bCs/>
      <w:sz w:val="24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2A6561"/>
    <w:rPr>
      <w:rFonts w:ascii="Times New Roman" w:eastAsia="Times New Roman" w:hAnsi="Times New Roman" w:cs="Times New Roman"/>
      <w:bCs/>
      <w:sz w:val="24"/>
      <w:szCs w:val="28"/>
      <w:lang w:eastAsia="ar-SA"/>
    </w:rPr>
  </w:style>
  <w:style w:type="paragraph" w:styleId="a6">
    <w:name w:val="List Paragraph"/>
    <w:basedOn w:val="a"/>
    <w:link w:val="a7"/>
    <w:uiPriority w:val="34"/>
    <w:qFormat/>
    <w:rsid w:val="002A656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  <w:lang w:eastAsia="ar-SA"/>
    </w:rPr>
  </w:style>
  <w:style w:type="character" w:customStyle="1" w:styleId="a7">
    <w:name w:val="Абзац списка Знак"/>
    <w:link w:val="a6"/>
    <w:uiPriority w:val="34"/>
    <w:locked/>
    <w:rsid w:val="002A6561"/>
    <w:rPr>
      <w:rFonts w:ascii="Times New Roman" w:eastAsia="Times New Roman" w:hAnsi="Times New Roman" w:cs="Times New Roman"/>
      <w:bCs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2023-11-08T06:19:00Z</dcterms:created>
  <dcterms:modified xsi:type="dcterms:W3CDTF">2023-11-08T06:23:00Z</dcterms:modified>
</cp:coreProperties>
</file>