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63B" w:rsidRPr="000B763B" w:rsidRDefault="000B763B" w:rsidP="000B763B">
      <w:pPr>
        <w:pStyle w:val="a3"/>
        <w:spacing w:before="0" w:beforeAutospacing="0" w:after="0" w:afterAutospacing="0"/>
        <w:ind w:hanging="142"/>
        <w:jc w:val="center"/>
        <w:rPr>
          <w:color w:val="000000"/>
          <w:sz w:val="28"/>
          <w:szCs w:val="28"/>
          <w:lang w:val="ru-RU"/>
        </w:rPr>
      </w:pPr>
    </w:p>
    <w:p w:rsidR="00A70EDD" w:rsidRDefault="000B763B" w:rsidP="000B763B">
      <w:pPr>
        <w:jc w:val="center"/>
        <w:rPr>
          <w:rFonts w:ascii="Times New Roman" w:hAnsi="Times New Roman"/>
          <w:color w:val="000000"/>
          <w:sz w:val="28"/>
          <w:szCs w:val="28"/>
        </w:rPr>
      </w:pPr>
      <w:proofErr w:type="spellStart"/>
      <w:r>
        <w:rPr>
          <w:rFonts w:ascii="Times New Roman" w:hAnsi="Times New Roman"/>
          <w:color w:val="000000"/>
          <w:sz w:val="28"/>
          <w:szCs w:val="28"/>
        </w:rPr>
        <w:t>Мд_</w:t>
      </w:r>
      <w:r w:rsidRPr="000B763B">
        <w:rPr>
          <w:rFonts w:ascii="Times New Roman" w:hAnsi="Times New Roman"/>
          <w:color w:val="000000"/>
          <w:sz w:val="28"/>
          <w:szCs w:val="28"/>
        </w:rPr>
        <w:t>Организационно</w:t>
      </w:r>
      <w:proofErr w:type="spellEnd"/>
      <w:r w:rsidRPr="000B763B">
        <w:rPr>
          <w:rFonts w:ascii="Times New Roman" w:hAnsi="Times New Roman"/>
          <w:color w:val="000000"/>
          <w:sz w:val="28"/>
          <w:szCs w:val="28"/>
        </w:rPr>
        <w:t>-управленческие и экономические механизмы развития сельскохозяйственной кооперации</w:t>
      </w:r>
    </w:p>
    <w:p w:rsidR="000B763B" w:rsidRDefault="000B763B" w:rsidP="000B763B">
      <w:pPr>
        <w:jc w:val="center"/>
        <w:rPr>
          <w:rFonts w:ascii="Times New Roman" w:hAnsi="Times New Roman"/>
          <w:color w:val="000000"/>
          <w:sz w:val="28"/>
          <w:szCs w:val="28"/>
        </w:rPr>
      </w:pPr>
      <w:r>
        <w:rPr>
          <w:rFonts w:ascii="Times New Roman" w:hAnsi="Times New Roman"/>
          <w:color w:val="000000"/>
          <w:sz w:val="28"/>
          <w:szCs w:val="28"/>
        </w:rPr>
        <w:t>Стр_75</w:t>
      </w:r>
    </w:p>
    <w:tbl>
      <w:tblPr>
        <w:tblW w:w="0" w:type="auto"/>
        <w:tblLook w:val="04A0" w:firstRow="1" w:lastRow="0" w:firstColumn="1" w:lastColumn="0" w:noHBand="0" w:noVBand="1"/>
      </w:tblPr>
      <w:tblGrid>
        <w:gridCol w:w="9348"/>
      </w:tblGrid>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Введение</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Глава 1. Теоретические аспекты организационно-управленческих и экономических механизмов развития сельскохозяйственной кооперации</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1.1. История развития сельскохозяйственной кооперации в Казахстане и мире</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1.2. Основные модели и принципы сельскохозяйственной кооперации</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1.3. Организационно-управленческие аспекты функционирования сельскохозяйственных кооперативов</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1.4. Экономические механизмы поддержки и развития сельскохозяйственной кооперации</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2. Анализ состояния и тенденций развития с</w:t>
            </w:r>
            <w:r>
              <w:rPr>
                <w:rFonts w:ascii="Times New Roman" w:hAnsi="Times New Roman"/>
                <w:color w:val="000000"/>
                <w:sz w:val="28"/>
                <w:szCs w:val="28"/>
              </w:rPr>
              <w:t xml:space="preserve">ельскохозяйственной кооперации </w:t>
            </w:r>
          </w:p>
        </w:tc>
      </w:tr>
      <w:tr w:rsidR="000B763B" w:rsidRPr="000B763B" w:rsidTr="000B763B">
        <w:trPr>
          <w:trHeight w:val="95"/>
        </w:trPr>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2.1 Анализ текущего состояния сельскохозяйственной кооперации в регионах Казахстана</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 xml:space="preserve">2.2 Состояние и тенденции развития субъектов сельского хозяйства и сельскохозяйственной кооперации </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2.3. Особенности организации-управления сельскохозяйственными кооперативами в области и анализ экономических механизмов его развития</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3. Совершенствование организационно-управленческих и экономических механизмов функционирования сельскохозяйственных кооперативов</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3.1 Основные критерии эффективной организации и управления сельскохозяйственной кооперацией и экономические показатели повышения ее эффективности</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3.2. Организационно-управленческие инновации в деятельности сельскохозяйственных кооперативов</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3.3 Совершенствование правил функционирования и организационно-управленческих механизмов сельс</w:t>
            </w:r>
            <w:r>
              <w:rPr>
                <w:rFonts w:ascii="Times New Roman" w:hAnsi="Times New Roman"/>
                <w:color w:val="000000"/>
                <w:sz w:val="28"/>
                <w:szCs w:val="28"/>
              </w:rPr>
              <w:t xml:space="preserve">кохозяйственных кооперативов </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3.4  Моделирование эффективных схем взаимодействия кооперативов с государством и частным сектором</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ЗАКЛЮЧЕНИЕ</w:t>
            </w:r>
          </w:p>
        </w:tc>
      </w:tr>
      <w:tr w:rsidR="000B763B" w:rsidRPr="000B763B" w:rsidTr="000B763B">
        <w:tc>
          <w:tcPr>
            <w:tcW w:w="9348" w:type="dxa"/>
            <w:shd w:val="clear" w:color="auto" w:fill="auto"/>
          </w:tcPr>
          <w:p w:rsidR="000B763B" w:rsidRPr="000B763B" w:rsidRDefault="000B763B" w:rsidP="000B763B">
            <w:pPr>
              <w:spacing w:after="0" w:line="240" w:lineRule="auto"/>
              <w:rPr>
                <w:rFonts w:ascii="Times New Roman" w:hAnsi="Times New Roman"/>
                <w:color w:val="000000"/>
                <w:sz w:val="28"/>
                <w:szCs w:val="28"/>
              </w:rPr>
            </w:pPr>
            <w:r w:rsidRPr="000B763B">
              <w:rPr>
                <w:rFonts w:ascii="Times New Roman" w:hAnsi="Times New Roman"/>
                <w:color w:val="000000"/>
                <w:sz w:val="28"/>
                <w:szCs w:val="28"/>
              </w:rPr>
              <w:t>СПИСОК ИСПОЛЬЗОВАННЫХ ИСТОЧНИКОВ</w:t>
            </w:r>
          </w:p>
        </w:tc>
      </w:tr>
    </w:tbl>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Pr="00CA1A21" w:rsidRDefault="000B763B" w:rsidP="000B763B">
      <w:pPr>
        <w:spacing w:after="0" w:line="240" w:lineRule="auto"/>
        <w:jc w:val="center"/>
        <w:rPr>
          <w:rFonts w:ascii="Times New Roman" w:hAnsi="Times New Roman"/>
          <w:color w:val="000000"/>
          <w:sz w:val="28"/>
          <w:szCs w:val="28"/>
          <w:highlight w:val="lightGray"/>
        </w:rPr>
      </w:pPr>
      <w:r w:rsidRPr="00CA1A21">
        <w:rPr>
          <w:rFonts w:ascii="Times New Roman" w:hAnsi="Times New Roman"/>
          <w:b/>
          <w:color w:val="000000"/>
          <w:sz w:val="28"/>
          <w:szCs w:val="28"/>
          <w:highlight w:val="lightGray"/>
        </w:rPr>
        <w:lastRenderedPageBreak/>
        <w:t xml:space="preserve">ЗАКЛЮЧЕНИЕ </w:t>
      </w:r>
    </w:p>
    <w:p w:rsidR="000B763B" w:rsidRPr="00CA1A21" w:rsidRDefault="000B763B" w:rsidP="000B763B">
      <w:pPr>
        <w:spacing w:after="0" w:line="240" w:lineRule="auto"/>
        <w:ind w:firstLine="709"/>
        <w:jc w:val="both"/>
        <w:rPr>
          <w:rStyle w:val="ezkurwreuab5ozgtqnkl"/>
          <w:rFonts w:ascii="Times New Roman" w:hAnsi="Times New Roman"/>
          <w:color w:val="000000"/>
          <w:sz w:val="28"/>
          <w:szCs w:val="28"/>
          <w:highlight w:val="lightGray"/>
        </w:rPr>
      </w:pPr>
    </w:p>
    <w:p w:rsidR="000B763B" w:rsidRPr="00CA1A21" w:rsidRDefault="000B763B" w:rsidP="000B763B">
      <w:pPr>
        <w:spacing w:after="0" w:line="240" w:lineRule="auto"/>
        <w:ind w:firstLine="709"/>
        <w:jc w:val="both"/>
        <w:rPr>
          <w:rStyle w:val="ezkurwreuab5ozgtqnkl"/>
          <w:rFonts w:ascii="Times New Roman" w:hAnsi="Times New Roman"/>
          <w:color w:val="000000"/>
          <w:sz w:val="28"/>
          <w:szCs w:val="28"/>
          <w:highlight w:val="lightGray"/>
        </w:rPr>
      </w:pPr>
      <w:r w:rsidRPr="00CA1A21">
        <w:rPr>
          <w:rStyle w:val="ezkurwreuab5ozgtqnkl"/>
          <w:rFonts w:ascii="Times New Roman" w:hAnsi="Times New Roman"/>
          <w:color w:val="000000"/>
          <w:sz w:val="28"/>
          <w:szCs w:val="28"/>
          <w:highlight w:val="lightGray"/>
        </w:rPr>
        <w:t xml:space="preserve">В завершении вышерассмотренной темы нужно определить следующие моменты, которые показывают высокую степень важности данной проблемы. </w:t>
      </w:r>
    </w:p>
    <w:p w:rsidR="000B763B" w:rsidRPr="00CA1A21" w:rsidRDefault="000B763B" w:rsidP="000B763B">
      <w:pPr>
        <w:spacing w:after="0" w:line="240" w:lineRule="auto"/>
        <w:ind w:firstLine="709"/>
        <w:jc w:val="both"/>
        <w:rPr>
          <w:rStyle w:val="ezkurwreuab5ozgtqnkl"/>
          <w:rFonts w:ascii="Times New Roman" w:hAnsi="Times New Roman"/>
          <w:color w:val="000000"/>
          <w:sz w:val="28"/>
          <w:szCs w:val="28"/>
          <w:highlight w:val="lightGray"/>
        </w:rPr>
      </w:pPr>
      <w:r w:rsidRPr="00CA1A21">
        <w:rPr>
          <w:rStyle w:val="ezkurwreuab5ozgtqnkl"/>
          <w:rFonts w:ascii="Times New Roman" w:hAnsi="Times New Roman"/>
          <w:b/>
          <w:color w:val="000000"/>
          <w:sz w:val="28"/>
          <w:szCs w:val="28"/>
          <w:highlight w:val="lightGray"/>
        </w:rPr>
        <w:t>В первой главе</w:t>
      </w:r>
      <w:r w:rsidRPr="00CA1A21">
        <w:rPr>
          <w:rStyle w:val="ezkurwreuab5ozgtqnkl"/>
          <w:rFonts w:ascii="Times New Roman" w:hAnsi="Times New Roman"/>
          <w:color w:val="000000"/>
          <w:sz w:val="28"/>
          <w:szCs w:val="28"/>
          <w:highlight w:val="lightGray"/>
        </w:rPr>
        <w:t xml:space="preserve"> были рассмотрены ключевые аспекты развития сельскохозяйственной кооперации, включая её организационные и экономические механизмы, а также роль руководства в создании и реализации политики функционирования кооперативов. </w:t>
      </w:r>
    </w:p>
    <w:p w:rsidR="000B763B" w:rsidRPr="00CA1A21" w:rsidRDefault="000B763B" w:rsidP="000B763B">
      <w:pPr>
        <w:spacing w:after="0" w:line="240" w:lineRule="auto"/>
        <w:ind w:firstLine="709"/>
        <w:jc w:val="both"/>
        <w:rPr>
          <w:rStyle w:val="ezkurwreuab5ozgtqnkl"/>
          <w:rFonts w:ascii="Times New Roman" w:hAnsi="Times New Roman"/>
          <w:color w:val="000000"/>
          <w:sz w:val="28"/>
          <w:szCs w:val="28"/>
          <w:highlight w:val="lightGray"/>
        </w:rPr>
      </w:pPr>
      <w:r w:rsidRPr="00CA1A21">
        <w:rPr>
          <w:rStyle w:val="ezkurwreuab5ozgtqnkl"/>
          <w:rFonts w:ascii="Times New Roman" w:hAnsi="Times New Roman"/>
          <w:color w:val="000000"/>
          <w:sz w:val="28"/>
          <w:szCs w:val="28"/>
          <w:highlight w:val="lightGray"/>
        </w:rPr>
        <w:t>Организационные аспекты кооперации включают учредительные документы, такие как учредительный договор и устав, а также разработку стратегии, которая начинается с определения философии и миссии кооператива. Это определяет способ реализации стратегии и её окончательный выбор. Кооперация в молочной и мясной отраслях должна развиваться до уровня производственных кооперативов, занимающихся переработкой и сбытом продукции.</w:t>
      </w: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Default="000B763B" w:rsidP="000B763B">
      <w:pPr>
        <w:rPr>
          <w:rFonts w:ascii="Times New Roman" w:hAnsi="Times New Roman"/>
          <w:b/>
        </w:rPr>
      </w:pPr>
    </w:p>
    <w:p w:rsidR="000B763B" w:rsidRPr="001A7E7F" w:rsidRDefault="000B763B" w:rsidP="000B763B">
      <w:pPr>
        <w:spacing w:after="0" w:line="240" w:lineRule="auto"/>
        <w:ind w:firstLine="709"/>
        <w:jc w:val="center"/>
        <w:rPr>
          <w:rFonts w:ascii="Times New Roman" w:hAnsi="Times New Roman"/>
          <w:color w:val="000000"/>
          <w:sz w:val="28"/>
          <w:szCs w:val="28"/>
        </w:rPr>
      </w:pPr>
      <w:r w:rsidRPr="001A7E7F">
        <w:rPr>
          <w:rFonts w:ascii="Times New Roman" w:hAnsi="Times New Roman"/>
          <w:b/>
          <w:color w:val="000000"/>
          <w:sz w:val="28"/>
          <w:szCs w:val="28"/>
        </w:rPr>
        <w:t>СПИСОК ИСПОЛЬЗОВАННЫХ ИСТОЧНИКОВ</w:t>
      </w:r>
    </w:p>
    <w:p w:rsidR="000B763B" w:rsidRPr="001A7E7F" w:rsidRDefault="000B763B" w:rsidP="000B763B">
      <w:pPr>
        <w:spacing w:after="0" w:line="240" w:lineRule="auto"/>
        <w:ind w:firstLine="709"/>
        <w:jc w:val="both"/>
        <w:rPr>
          <w:rFonts w:ascii="Times New Roman" w:hAnsi="Times New Roman"/>
          <w:color w:val="000000"/>
          <w:sz w:val="28"/>
          <w:szCs w:val="28"/>
        </w:rPr>
      </w:pPr>
    </w:p>
    <w:p w:rsidR="000B763B" w:rsidRPr="001A7E7F" w:rsidRDefault="000B763B" w:rsidP="000B763B">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1.Закон Республики Казахстан от 29 октября 2015 года № 372-V «О сельскохозяйственных кооперативах» (с изменениями от 28.10.2019 г.)</w:t>
      </w:r>
    </w:p>
    <w:p w:rsidR="000B763B" w:rsidRPr="001A7E7F" w:rsidRDefault="000B763B" w:rsidP="000B763B">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 xml:space="preserve">2. </w:t>
      </w:r>
      <w:proofErr w:type="spellStart"/>
      <w:r w:rsidRPr="001A7E7F">
        <w:rPr>
          <w:rFonts w:ascii="Times New Roman" w:hAnsi="Times New Roman"/>
          <w:color w:val="000000"/>
          <w:sz w:val="28"/>
          <w:szCs w:val="28"/>
        </w:rPr>
        <w:t>Ильинова</w:t>
      </w:r>
      <w:proofErr w:type="spellEnd"/>
      <w:r w:rsidRPr="001A7E7F">
        <w:rPr>
          <w:rFonts w:ascii="Times New Roman" w:hAnsi="Times New Roman"/>
          <w:color w:val="000000"/>
          <w:sz w:val="28"/>
          <w:szCs w:val="28"/>
        </w:rPr>
        <w:t xml:space="preserve"> О.В. Кооперация в производстве, переработке и сбыте продукции как механизм регулирования малого и среднего бизнеса в АПК // Экономика и предпринимательство. – 2018. – № 9 (98). – С. 1215-1218 </w:t>
      </w:r>
    </w:p>
    <w:p w:rsidR="000B763B" w:rsidRPr="001A7E7F" w:rsidRDefault="000B763B" w:rsidP="000B763B">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 xml:space="preserve">3. Стебакова Т.А. Модель политики заработной платы в организациях АПК / Н.И. Прока, Т.А. Стебакова // Финансовая экономика. – 2018. – №6. – С. 635-638. </w:t>
      </w:r>
    </w:p>
    <w:p w:rsidR="000B763B" w:rsidRPr="001A7E7F" w:rsidRDefault="000B763B" w:rsidP="000B763B">
      <w:pPr>
        <w:spacing w:after="0" w:line="240" w:lineRule="auto"/>
        <w:ind w:firstLine="709"/>
        <w:jc w:val="both"/>
        <w:rPr>
          <w:rFonts w:ascii="Times New Roman" w:hAnsi="Times New Roman"/>
          <w:color w:val="000000"/>
          <w:sz w:val="28"/>
          <w:szCs w:val="28"/>
        </w:rPr>
      </w:pPr>
      <w:r w:rsidRPr="001A7E7F">
        <w:rPr>
          <w:rFonts w:ascii="Times New Roman" w:hAnsi="Times New Roman"/>
          <w:color w:val="000000"/>
          <w:sz w:val="28"/>
          <w:szCs w:val="28"/>
        </w:rPr>
        <w:t xml:space="preserve">4. </w:t>
      </w:r>
      <w:proofErr w:type="spellStart"/>
      <w:r w:rsidRPr="001A7E7F">
        <w:rPr>
          <w:rFonts w:ascii="Times New Roman" w:hAnsi="Times New Roman"/>
          <w:color w:val="000000"/>
          <w:sz w:val="28"/>
          <w:szCs w:val="28"/>
        </w:rPr>
        <w:t>Комлацкий</w:t>
      </w:r>
      <w:proofErr w:type="spellEnd"/>
      <w:r w:rsidRPr="001A7E7F">
        <w:rPr>
          <w:rFonts w:ascii="Times New Roman" w:hAnsi="Times New Roman"/>
          <w:color w:val="000000"/>
          <w:sz w:val="28"/>
          <w:szCs w:val="28"/>
        </w:rPr>
        <w:t xml:space="preserve"> Г.В. Роль семейного животноводства в обеспечении устойчивого развития сельских территорий // Труды Кубанского государственного аграрного университета. – 2020. – № 83. – С. 22-27. </w:t>
      </w:r>
    </w:p>
    <w:p w:rsidR="000B763B" w:rsidRPr="000B763B" w:rsidRDefault="000B763B" w:rsidP="000B763B">
      <w:pPr>
        <w:spacing w:after="0" w:line="240" w:lineRule="auto"/>
        <w:ind w:firstLine="709"/>
        <w:jc w:val="both"/>
        <w:rPr>
          <w:rFonts w:ascii="Times New Roman" w:hAnsi="Times New Roman"/>
          <w:color w:val="000000"/>
          <w:sz w:val="28"/>
          <w:szCs w:val="28"/>
          <w:lang w:val="en-US"/>
        </w:rPr>
      </w:pPr>
      <w:r w:rsidRPr="001A7E7F">
        <w:rPr>
          <w:rFonts w:ascii="Times New Roman" w:hAnsi="Times New Roman"/>
          <w:color w:val="000000"/>
          <w:sz w:val="28"/>
          <w:szCs w:val="28"/>
          <w:lang w:val="en-US"/>
        </w:rPr>
        <w:t xml:space="preserve">5. </w:t>
      </w:r>
      <w:proofErr w:type="spellStart"/>
      <w:r w:rsidRPr="001A7E7F">
        <w:rPr>
          <w:rFonts w:ascii="Times New Roman" w:hAnsi="Times New Roman"/>
          <w:color w:val="000000"/>
          <w:sz w:val="28"/>
          <w:szCs w:val="28"/>
          <w:lang w:val="en-US"/>
        </w:rPr>
        <w:t>Magomadov</w:t>
      </w:r>
      <w:proofErr w:type="spellEnd"/>
      <w:r w:rsidRPr="001A7E7F">
        <w:rPr>
          <w:rFonts w:ascii="Times New Roman" w:hAnsi="Times New Roman"/>
          <w:color w:val="000000"/>
          <w:sz w:val="28"/>
          <w:szCs w:val="28"/>
          <w:lang w:val="en-US"/>
        </w:rPr>
        <w:t xml:space="preserve"> V. Organizational structure of the agriculture of the Chechen Republic as a factor of its institutional development and import replacing industrialization / R. </w:t>
      </w:r>
      <w:proofErr w:type="spellStart"/>
      <w:r w:rsidRPr="001A7E7F">
        <w:rPr>
          <w:rFonts w:ascii="Times New Roman" w:hAnsi="Times New Roman"/>
          <w:color w:val="000000"/>
          <w:sz w:val="28"/>
          <w:szCs w:val="28"/>
          <w:lang w:val="en-US"/>
        </w:rPr>
        <w:t>Aschabov</w:t>
      </w:r>
      <w:proofErr w:type="spellEnd"/>
      <w:r w:rsidRPr="001A7E7F">
        <w:rPr>
          <w:rFonts w:ascii="Times New Roman" w:hAnsi="Times New Roman"/>
          <w:color w:val="000000"/>
          <w:sz w:val="28"/>
          <w:szCs w:val="28"/>
          <w:lang w:val="en-US"/>
        </w:rPr>
        <w:t xml:space="preserve">, M. </w:t>
      </w:r>
      <w:proofErr w:type="spellStart"/>
      <w:r w:rsidRPr="001A7E7F">
        <w:rPr>
          <w:rFonts w:ascii="Times New Roman" w:hAnsi="Times New Roman"/>
          <w:color w:val="000000"/>
          <w:sz w:val="28"/>
          <w:szCs w:val="28"/>
          <w:lang w:val="en-US"/>
        </w:rPr>
        <w:t>Betilgiriev</w:t>
      </w:r>
      <w:proofErr w:type="spellEnd"/>
      <w:r w:rsidRPr="001A7E7F">
        <w:rPr>
          <w:rFonts w:ascii="Times New Roman" w:hAnsi="Times New Roman"/>
          <w:color w:val="000000"/>
          <w:sz w:val="28"/>
          <w:szCs w:val="28"/>
          <w:lang w:val="en-US"/>
        </w:rPr>
        <w:t xml:space="preserve">, </w:t>
      </w:r>
      <w:r w:rsidRPr="001A7E7F">
        <w:rPr>
          <w:rFonts w:ascii="Times New Roman" w:hAnsi="Times New Roman"/>
          <w:color w:val="000000"/>
          <w:sz w:val="28"/>
          <w:szCs w:val="28"/>
        </w:rPr>
        <w:t>М</w:t>
      </w:r>
      <w:r w:rsidRPr="001A7E7F">
        <w:rPr>
          <w:rFonts w:ascii="Times New Roman" w:hAnsi="Times New Roman"/>
          <w:color w:val="000000"/>
          <w:sz w:val="28"/>
          <w:szCs w:val="28"/>
          <w:lang w:val="en-US"/>
        </w:rPr>
        <w:t xml:space="preserve">. </w:t>
      </w:r>
      <w:proofErr w:type="spellStart"/>
      <w:r w:rsidRPr="001A7E7F">
        <w:rPr>
          <w:rFonts w:ascii="Times New Roman" w:hAnsi="Times New Roman"/>
          <w:color w:val="000000"/>
          <w:sz w:val="28"/>
          <w:szCs w:val="28"/>
          <w:lang w:val="en-US"/>
        </w:rPr>
        <w:t>Israilov</w:t>
      </w:r>
      <w:proofErr w:type="spellEnd"/>
      <w:r w:rsidRPr="001A7E7F">
        <w:rPr>
          <w:rFonts w:ascii="Times New Roman" w:hAnsi="Times New Roman"/>
          <w:color w:val="000000"/>
          <w:sz w:val="28"/>
          <w:szCs w:val="28"/>
          <w:lang w:val="en-US"/>
        </w:rPr>
        <w:t xml:space="preserve">, V. </w:t>
      </w:r>
      <w:proofErr w:type="spellStart"/>
      <w:r w:rsidRPr="001A7E7F">
        <w:rPr>
          <w:rFonts w:ascii="Times New Roman" w:hAnsi="Times New Roman"/>
          <w:color w:val="000000"/>
          <w:sz w:val="28"/>
          <w:szCs w:val="28"/>
          <w:lang w:val="en-US"/>
        </w:rPr>
        <w:t>Magomadov</w:t>
      </w:r>
      <w:proofErr w:type="spellEnd"/>
      <w:r w:rsidRPr="001A7E7F">
        <w:rPr>
          <w:rFonts w:ascii="Times New Roman" w:hAnsi="Times New Roman"/>
          <w:color w:val="000000"/>
          <w:sz w:val="28"/>
          <w:szCs w:val="28"/>
          <w:lang w:val="en-US"/>
        </w:rPr>
        <w:t xml:space="preserve"> // Competitive, Sustainable and Safe Development of the Regional </w:t>
      </w:r>
      <w:proofErr w:type="gramStart"/>
      <w:r w:rsidRPr="001A7E7F">
        <w:rPr>
          <w:rFonts w:ascii="Times New Roman" w:hAnsi="Times New Roman"/>
          <w:color w:val="000000"/>
          <w:sz w:val="28"/>
          <w:szCs w:val="28"/>
          <w:lang w:val="en-US"/>
        </w:rPr>
        <w:t>Economy :</w:t>
      </w:r>
      <w:proofErr w:type="gramEnd"/>
      <w:r w:rsidRPr="001A7E7F">
        <w:rPr>
          <w:rFonts w:ascii="Times New Roman" w:hAnsi="Times New Roman"/>
          <w:color w:val="000000"/>
          <w:sz w:val="28"/>
          <w:szCs w:val="28"/>
          <w:lang w:val="en-US"/>
        </w:rPr>
        <w:t xml:space="preserve"> Proceedings of the Volgograd State University International Scientific Conference (CSSDRE 2019). – 2019. – </w:t>
      </w:r>
      <w:r w:rsidRPr="001A7E7F">
        <w:rPr>
          <w:rFonts w:ascii="Times New Roman" w:hAnsi="Times New Roman"/>
          <w:color w:val="000000"/>
          <w:sz w:val="28"/>
          <w:szCs w:val="28"/>
        </w:rPr>
        <w:t>С</w:t>
      </w:r>
      <w:r w:rsidRPr="001A7E7F">
        <w:rPr>
          <w:rFonts w:ascii="Times New Roman" w:hAnsi="Times New Roman"/>
          <w:color w:val="000000"/>
          <w:sz w:val="28"/>
          <w:szCs w:val="28"/>
          <w:lang w:val="en-US"/>
        </w:rPr>
        <w:t xml:space="preserve">. 513-517. – URL: https://doi.org/10.2991/cssdre-19.2019.99. </w:t>
      </w:r>
    </w:p>
    <w:p w:rsidR="000B763B" w:rsidRPr="000B763B" w:rsidRDefault="000B763B" w:rsidP="000B763B">
      <w:pPr>
        <w:rPr>
          <w:rFonts w:ascii="Times New Roman" w:hAnsi="Times New Roman"/>
          <w:b/>
          <w:lang w:val="en-US"/>
        </w:rPr>
      </w:pPr>
      <w:bookmarkStart w:id="0" w:name="_GoBack"/>
      <w:bookmarkEnd w:id="0"/>
    </w:p>
    <w:sectPr w:rsidR="000B763B" w:rsidRPr="000B7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4E"/>
    <w:rsid w:val="000B763B"/>
    <w:rsid w:val="0098444E"/>
    <w:rsid w:val="00A265BA"/>
    <w:rsid w:val="00ED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7E72"/>
  <w15:chartTrackingRefBased/>
  <w15:docId w15:val="{3AB52F6B-DFDE-4277-A839-C750BB8C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63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Знак4,Знак Знак1 Знак,Знак Знак1 Знак Знак,Обычный (веб) Знак Знак Знак Знак,Знак Знак Знак Знак Знак Знак Знак,Знак Знак1 Зна, Зна, Знак4,Обычный (веб) Знак Знак1,Обычный (Web"/>
    <w:basedOn w:val="a"/>
    <w:link w:val="a4"/>
    <w:uiPriority w:val="99"/>
    <w:unhideWhenUsed/>
    <w:qFormat/>
    <w:rsid w:val="000B763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Знак4 Знак, Знак4 Знак,Обычный (веб) Знак1 Знак,Обычный (веб) Знак Знак1 Знак, Знак Знак1 Знак Знак1,Обычный (веб) Знак Знак Знак Знак1, Знак Знак1 Знак Знак Знак,Знак Знак1 Зна Знак"/>
    <w:link w:val="a3"/>
    <w:uiPriority w:val="99"/>
    <w:locked/>
    <w:rsid w:val="000B763B"/>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0B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2026-01-16T11:06:00Z</dcterms:created>
  <dcterms:modified xsi:type="dcterms:W3CDTF">2026-01-16T11:11:00Z</dcterms:modified>
</cp:coreProperties>
</file>