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DD" w:rsidRDefault="00596BDF" w:rsidP="00596BD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96BDF">
        <w:rPr>
          <w:rFonts w:ascii="Times New Roman" w:hAnsi="Times New Roman" w:cs="Times New Roman"/>
          <w:sz w:val="28"/>
          <w:szCs w:val="28"/>
        </w:rPr>
        <w:t>Мд_</w:t>
      </w:r>
      <w:r w:rsidRPr="00596BDF">
        <w:rPr>
          <w:rFonts w:ascii="Times New Roman" w:hAnsi="Times New Roman" w:cs="Times New Roman"/>
          <w:sz w:val="28"/>
          <w:szCs w:val="28"/>
        </w:rPr>
        <w:t>Правовой</w:t>
      </w:r>
      <w:proofErr w:type="spellEnd"/>
      <w:r w:rsidRPr="00596BDF">
        <w:rPr>
          <w:rFonts w:ascii="Times New Roman" w:hAnsi="Times New Roman" w:cs="Times New Roman"/>
          <w:sz w:val="28"/>
          <w:szCs w:val="28"/>
        </w:rPr>
        <w:t xml:space="preserve"> режим недвижимого имущества в гражданском праве России</w:t>
      </w:r>
    </w:p>
    <w:p w:rsidR="00596BDF" w:rsidRDefault="00596BDF" w:rsidP="00596B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Стр_83</w:t>
      </w:r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</w:rPr>
        <w:fldChar w:fldCharType="begin"/>
      </w:r>
      <w:r>
        <w:rPr>
          <w:rFonts w:eastAsia="Calibri" w:cs="Times New Roman"/>
          <w:sz w:val="28"/>
          <w:szCs w:val="28"/>
        </w:rPr>
        <w:instrText xml:space="preserve"> TOC \o "1-3" \h \z \u </w:instrText>
      </w:r>
      <w:r>
        <w:rPr>
          <w:rFonts w:eastAsia="Calibri" w:cs="Times New Roman"/>
          <w:sz w:val="28"/>
          <w:szCs w:val="28"/>
        </w:rPr>
        <w:fldChar w:fldCharType="separate"/>
      </w:r>
      <w:hyperlink r:id="rId5" w:anchor="_Toc192552205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Введение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6" w:anchor="_Toc192552206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ГЛАВА 1. Теоретические и правовые основы определения и понимания недвижимого имущества в отечественной юриспруденции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7" w:anchor="_Toc192552207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1.1. Понятие и признаки недвижимого имущества в гражданском праве России (история и современность)</w:t>
        </w:r>
      </w:hyperlink>
      <w:r w:rsidRPr="00596BDF">
        <w:rPr>
          <w:rFonts w:asciiTheme="minorHAnsi" w:eastAsiaTheme="minorEastAsia" w:hAnsiTheme="minorHAnsi"/>
          <w:noProof/>
          <w:sz w:val="28"/>
          <w:szCs w:val="28"/>
          <w:lang w:eastAsia="ru-RU"/>
        </w:rPr>
        <w:t xml:space="preserve"> </w:t>
      </w:r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8" w:anchor="_Toc192552208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1.2. Проблема классификации недвижимого имущества в гражданском праве РФ и её решение в современных условиях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9" w:anchor="_Toc192552209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1.3. Зарубежный опыт правового регулирования недвижимого имущества в современном мире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0" w:anchor="_Toc192552210" w:history="1">
        <w:r w:rsidRPr="00596BDF">
          <w:rPr>
            <w:rStyle w:val="a3"/>
            <w:rFonts w:eastAsia="Times New Roman" w:cs="Times New Roman"/>
            <w:noProof/>
            <w:sz w:val="28"/>
            <w:szCs w:val="28"/>
          </w:rPr>
          <w:t xml:space="preserve">ГЛАВА 2. </w:t>
        </w:r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Гражданско-правовой режим основных видов недвижимого имущества и особенности сделок с ним в Российской Федерации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1" w:anchor="_Toc192552211" w:history="1">
        <w:r w:rsidRPr="00596BDF">
          <w:rPr>
            <w:rStyle w:val="a3"/>
            <w:rFonts w:eastAsia="Times New Roman" w:cs="Times New Roman"/>
            <w:noProof/>
            <w:sz w:val="28"/>
            <w:szCs w:val="28"/>
          </w:rPr>
          <w:t>2.1. Гражданско-правовой режим земельных участков и специфика их правового регулирования на практике как объектов права собственности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2" w:anchor="_Toc192552212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2.2. Гражданско-правовой режим жилых помещений и особенности сделок с ними с современных условиях в РФ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3" w:anchor="_Toc192552213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 xml:space="preserve">2.3. Гражданско-правовой режим коммерческой </w:t>
        </w:r>
        <w:r w:rsidRPr="00596BDF">
          <w:rPr>
            <w:rStyle w:val="a3"/>
            <w:rFonts w:eastAsia="Times New Roman" w:cs="Times New Roman"/>
            <w:noProof/>
            <w:sz w:val="28"/>
            <w:szCs w:val="28"/>
          </w:rPr>
          <w:t xml:space="preserve">недвижимости и специфика </w:t>
        </w:r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сделок с таким недвижимым имуществом в РФ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4" w:anchor="_Toc192552214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 xml:space="preserve">ГЛАВА 3. Актуальные проблемы гражданско-правового оборота недвижимого имущества </w:t>
        </w:r>
        <w:r>
          <w:rPr>
            <w:rStyle w:val="a3"/>
            <w:rFonts w:eastAsia="Calibri" w:cs="Times New Roman"/>
            <w:noProof/>
            <w:sz w:val="28"/>
            <w:szCs w:val="28"/>
          </w:rPr>
          <w:t>в РФ и основные пути их решения</w:t>
        </w:r>
      </w:hyperlink>
      <w:r w:rsidRPr="00596BDF">
        <w:rPr>
          <w:rFonts w:asciiTheme="minorHAnsi" w:eastAsiaTheme="minorEastAsia" w:hAnsiTheme="minorHAnsi"/>
          <w:noProof/>
          <w:sz w:val="28"/>
          <w:szCs w:val="28"/>
          <w:lang w:eastAsia="ru-RU"/>
        </w:rPr>
        <w:t xml:space="preserve"> </w:t>
      </w:r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5" w:anchor="_Toc192552215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3.1. Проблемы применения срока исковой давности по иску о признании права собственности на недвижимое имущество на основе российского законодательства в современных условиях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6" w:anchor="_Toc192552216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3.2. Проблемы возникновения права собственности на недвижимое имущество в силу приобретательной давности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7" w:anchor="_Toc192552217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3.3. Проблемы гражданско-правового регулирования прекращения права собственности на недвижимое имущество и пути их решения в РФ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8" w:anchor="_Toc192552218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Заключение</w:t>
        </w:r>
      </w:hyperlink>
    </w:p>
    <w:p w:rsidR="00596BDF" w:rsidRPr="00596BDF" w:rsidRDefault="00596BDF" w:rsidP="00596BDF">
      <w:pPr>
        <w:pStyle w:val="11"/>
        <w:tabs>
          <w:tab w:val="right" w:leader="dot" w:pos="9344"/>
        </w:tabs>
        <w:spacing w:after="0" w:line="336" w:lineRule="auto"/>
        <w:rPr>
          <w:rFonts w:asciiTheme="minorHAnsi" w:eastAsiaTheme="minorEastAsia" w:hAnsiTheme="minorHAnsi"/>
          <w:noProof/>
          <w:sz w:val="28"/>
          <w:szCs w:val="28"/>
          <w:lang w:eastAsia="ru-RU"/>
        </w:rPr>
      </w:pPr>
      <w:hyperlink r:id="rId19" w:anchor="_Toc192552219" w:history="1">
        <w:r w:rsidRPr="00596BDF">
          <w:rPr>
            <w:rStyle w:val="a3"/>
            <w:rFonts w:eastAsia="Calibri" w:cs="Times New Roman"/>
            <w:noProof/>
            <w:sz w:val="28"/>
            <w:szCs w:val="28"/>
          </w:rPr>
          <w:t>Список использованных источников</w:t>
        </w:r>
      </w:hyperlink>
    </w:p>
    <w:p w:rsidR="00596BDF" w:rsidRDefault="00596BDF" w:rsidP="00596BDF">
      <w:pPr>
        <w:rPr>
          <w:rFonts w:eastAsia="Calibri" w:cs="Times New Roman"/>
          <w:sz w:val="28"/>
          <w:szCs w:val="28"/>
        </w:rPr>
      </w:pPr>
    </w:p>
    <w:p w:rsidR="00596BDF" w:rsidRDefault="00596BDF" w:rsidP="00596BDF">
      <w:pPr>
        <w:rPr>
          <w:rFonts w:eastAsia="Calibri" w:cs="Times New Roman"/>
          <w:sz w:val="28"/>
          <w:szCs w:val="28"/>
        </w:rPr>
      </w:pPr>
    </w:p>
    <w:p w:rsidR="00596BDF" w:rsidRPr="00596BDF" w:rsidRDefault="00596BDF" w:rsidP="00596BDF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eastAsia="Calibri" w:cs="Times New Roman"/>
          <w:sz w:val="28"/>
          <w:szCs w:val="28"/>
        </w:rPr>
        <w:lastRenderedPageBreak/>
        <w:fldChar w:fldCharType="end"/>
      </w:r>
      <w:bookmarkStart w:id="0" w:name="_Toc192552218"/>
      <w:r w:rsidRPr="00596BDF">
        <w:rPr>
          <w:rFonts w:ascii="Times New Roman" w:eastAsia="Calibri" w:hAnsi="Times New Roman" w:cs="Times New Roman"/>
          <w:b/>
          <w:color w:val="000000" w:themeColor="text1"/>
          <w:szCs w:val="28"/>
        </w:rPr>
        <w:t xml:space="preserve"> </w:t>
      </w:r>
      <w:r w:rsidRPr="00596BDF">
        <w:rPr>
          <w:rFonts w:ascii="Times New Roman" w:eastAsia="Calibri" w:hAnsi="Times New Roman" w:cs="Times New Roman"/>
          <w:b/>
          <w:color w:val="000000" w:themeColor="text1"/>
          <w:szCs w:val="28"/>
        </w:rPr>
        <w:t>Заключение</w:t>
      </w:r>
      <w:bookmarkEnd w:id="0"/>
    </w:p>
    <w:p w:rsidR="00596BDF" w:rsidRPr="00596BDF" w:rsidRDefault="00596BDF" w:rsidP="00596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BDF">
        <w:rPr>
          <w:rFonts w:ascii="Times New Roman" w:hAnsi="Times New Roman" w:cs="Times New Roman"/>
          <w:sz w:val="28"/>
          <w:szCs w:val="28"/>
        </w:rPr>
        <w:t>В ходе проведенного исследования были изучены теоретические и правовые основы определения недвижимого имущества в гражданском праве России, а также особенности гражданско-правового режима различных видов недвижимости и специфика сделок с ними. Анализ актуальных проблем правового регулирования оборота недвижимого имущества позволил выявить ключевые затруднения и предложить возможные пути их решения.</w:t>
      </w:r>
    </w:p>
    <w:p w:rsidR="00596BDF" w:rsidRPr="00596BDF" w:rsidRDefault="00596BDF" w:rsidP="00596BD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BDF">
        <w:rPr>
          <w:rFonts w:ascii="Times New Roman" w:hAnsi="Times New Roman" w:cs="Times New Roman"/>
          <w:sz w:val="28"/>
          <w:szCs w:val="28"/>
        </w:rPr>
        <w:t>Проведенный анализ показал, что правовое регулирование недвижимого имущества в гражданском праве России имеет давнюю историю и базируется на нормах Гражданского кодекса РФ. Однако классификация недвижимого имущества все еще остается предметом дискуссий среди ученых-юристов, что свидетельствует о необходимости совершенствования законодательства в данной сфере. В настоящее время отсутствует единый подход к определению границ недвижимости, что может приводить к правовым коллизиям и спорам. Необходима более четкая систематизация критериев отнесения имущества к недвижимым вещам, а также установление унифицированных норм регулирования различных видов недвижимости.</w:t>
      </w: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rPr>
          <w:rFonts w:ascii="Times New Roman" w:hAnsi="Times New Roman" w:cs="Times New Roman"/>
        </w:rPr>
      </w:pPr>
    </w:p>
    <w:p w:rsidR="00596BDF" w:rsidRDefault="00596BDF" w:rsidP="00596BDF">
      <w:pPr>
        <w:pStyle w:val="1"/>
        <w:spacing w:before="0" w:line="360" w:lineRule="auto"/>
        <w:jc w:val="center"/>
        <w:rPr>
          <w:rFonts w:ascii="Times New Roman" w:eastAsia="Calibri" w:hAnsi="Times New Roman" w:cs="Times New Roman"/>
          <w:b/>
          <w:color w:val="auto"/>
          <w:sz w:val="22"/>
          <w:szCs w:val="20"/>
        </w:rPr>
      </w:pPr>
      <w:bookmarkStart w:id="1" w:name="_Toc192552219"/>
      <w:r>
        <w:rPr>
          <w:rFonts w:ascii="Times New Roman" w:eastAsia="Calibri" w:hAnsi="Times New Roman" w:cs="Times New Roman"/>
          <w:b/>
          <w:color w:val="auto"/>
          <w:szCs w:val="28"/>
        </w:rPr>
        <w:t>Список использованных источников</w:t>
      </w:r>
      <w:bookmarkEnd w:id="1"/>
    </w:p>
    <w:p w:rsidR="00596BDF" w:rsidRDefault="00596BDF" w:rsidP="00596BDF">
      <w:pPr>
        <w:rPr>
          <w:rFonts w:ascii="Times New Roman" w:hAnsi="Times New Roman"/>
        </w:rPr>
      </w:pPr>
    </w:p>
    <w:p w:rsidR="00596BDF" w:rsidRDefault="00596BDF" w:rsidP="00596BD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bookmarkStart w:id="2" w:name="_GoBack"/>
      <w:bookmarkEnd w:id="2"/>
      <w:r>
        <w:rPr>
          <w:sz w:val="28"/>
        </w:rPr>
        <w:t>Гражданский кодекс Российской Федерации (часть первая) от 30.11.1994 N 51-ФЗ (ред. от 08.08.2024, с изм. от 31.10.2024) // Собрание законодательства РФ. 1994 № 32, ст. 3301.</w:t>
      </w:r>
    </w:p>
    <w:p w:rsidR="00596BDF" w:rsidRDefault="00596BDF" w:rsidP="00596BD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Федеральный закон от 13.07.2015 N 218-ФЗ (ред. от 26.12.2024) "О государственной регистрации недвижимости" (с изм. и доп., вступ. в силу с 01.01.2025) // Собрание законодательства РФ. 2015, № 29 (часть I), ст. 4344.</w:t>
      </w:r>
    </w:p>
    <w:p w:rsidR="00596BDF" w:rsidRDefault="00596BDF" w:rsidP="00596BD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Федеральный закон "О внесении изменений в главы 1, 2, 3 и 4 части первой Гражданского кодекса Российской Федерации" от 30.12.2012 N 302-ФЗ (последняя редакция) // Собрание законодательства РФ. 2012, № 53 (часть I), ст. 7627.</w:t>
      </w:r>
    </w:p>
    <w:p w:rsidR="00596BDF" w:rsidRDefault="00596BDF" w:rsidP="00596BD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Федеральный закон "Об ипотеке (залоге недвижимости)" от 16.07.1998 N 102-ФЗ // Собрание законодательства РФ. 1998, № 29, ст. 3400.</w:t>
      </w:r>
    </w:p>
    <w:p w:rsidR="00596BDF" w:rsidRDefault="00596BDF" w:rsidP="00596BDF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Земельный кодекс Российской Федерации от 25.10.2001 N 136-ФЗ (ред. от 26.12.2024) (с изм. и доп., вступ. в силу с 01.01.2025) // Собрание законодательства РФ. 2001, № 44, ст. 4147.</w:t>
      </w:r>
    </w:p>
    <w:p w:rsidR="00596BDF" w:rsidRPr="00596BDF" w:rsidRDefault="00596BDF" w:rsidP="00596BDF">
      <w:pPr>
        <w:rPr>
          <w:rFonts w:ascii="Times New Roman" w:hAnsi="Times New Roman" w:cs="Times New Roman"/>
        </w:rPr>
      </w:pPr>
    </w:p>
    <w:sectPr w:rsidR="00596BDF" w:rsidRPr="00596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944"/>
    <w:multiLevelType w:val="hybridMultilevel"/>
    <w:tmpl w:val="9816F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A6"/>
    <w:rsid w:val="002B2BA6"/>
    <w:rsid w:val="00596BDF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54B4"/>
  <w15:chartTrackingRefBased/>
  <w15:docId w15:val="{E9D9A51B-86DC-4A21-8DA6-82F4F2FC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BD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BDF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596BDF"/>
    <w:pPr>
      <w:spacing w:after="100"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9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96BDF"/>
    <w:pPr>
      <w:spacing w:after="0" w:line="240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3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8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2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7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1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5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5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0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9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Relationship Id="rId14" Type="http://schemas.openxmlformats.org/officeDocument/2006/relationships/hyperlink" Target="file:///A:\&#1057;&#1077;&#1079;&#1086;&#1085;%202020-2021\&#1057;&#1062;&#1048;&#1044;\2025\&#1044;&#1080;&#1089;&#1089;&#1077;&#1088;&#1090;&#1072;&#1094;&#1080;&#1080;\&#1070;&#1088;&#1080;&#1089;&#1087;&#1088;&#1091;&#1076;&#1077;&#1085;&#1094;&#1080;&#1103;\&#1052;&#1076;_&#171;&#1055;&#1088;&#1072;&#1074;&#1086;&#1074;&#1086;&#1081;%20&#1088;&#1077;&#1078;&#1080;&#1084;%20&#1085;&#1077;&#1076;&#1074;&#1080;&#1078;&#1080;&#1084;&#1086;&#1075;&#1086;%20&#1080;&#1084;&#1091;&#1097;&#1077;&#1089;&#1090;&#1074;&#1072;%20&#1074;%20&#1075;&#1088;&#1072;&#1078;&#1076;&#1072;&#1085;&#1089;&#1082;&#1086;&#1084;%20&#1087;&#1088;&#1072;&#1074;&#1077;%20&#1056;&#1086;&#1089;&#1089;&#1080;&#1080;&#18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2026-01-09T13:53:00Z</dcterms:created>
  <dcterms:modified xsi:type="dcterms:W3CDTF">2026-01-09T13:56:00Z</dcterms:modified>
</cp:coreProperties>
</file>