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CD" w:rsidRDefault="00B843CD" w:rsidP="00B843CD">
      <w:pPr>
        <w:jc w:val="center"/>
        <w:rPr>
          <w:sz w:val="28"/>
        </w:rPr>
      </w:pPr>
      <w:r>
        <w:rPr>
          <w:sz w:val="28"/>
        </w:rPr>
        <w:t>Мд_</w:t>
      </w:r>
      <w:r w:rsidRPr="00335912">
        <w:rPr>
          <w:sz w:val="28"/>
        </w:rPr>
        <w:t>Проблемы реализации отдельных принципов гражданского процесса в суде</w:t>
      </w:r>
    </w:p>
    <w:p w:rsidR="00B843CD" w:rsidRDefault="00B843CD" w:rsidP="00B843CD">
      <w:pPr>
        <w:jc w:val="center"/>
        <w:rPr>
          <w:sz w:val="28"/>
        </w:rPr>
      </w:pPr>
      <w:r>
        <w:rPr>
          <w:sz w:val="28"/>
        </w:rPr>
        <w:t>Стр_66</w:t>
      </w:r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r w:rsidRPr="00BA2AE6">
        <w:rPr>
          <w:sz w:val="28"/>
          <w:szCs w:val="28"/>
        </w:rPr>
        <w:fldChar w:fldCharType="begin"/>
      </w:r>
      <w:r w:rsidRPr="00BA2AE6">
        <w:rPr>
          <w:sz w:val="28"/>
          <w:szCs w:val="28"/>
        </w:rPr>
        <w:instrText xml:space="preserve"> TOC \o "1-3" \h \z \u </w:instrText>
      </w:r>
      <w:r w:rsidRPr="00BA2AE6">
        <w:rPr>
          <w:sz w:val="28"/>
          <w:szCs w:val="28"/>
        </w:rPr>
        <w:fldChar w:fldCharType="separate"/>
      </w:r>
      <w:hyperlink w:anchor="_Toc135844898" w:history="1">
        <w:r w:rsidRPr="00BA2AE6">
          <w:rPr>
            <w:rStyle w:val="a3"/>
            <w:rFonts w:eastAsia="Calibri" w:cs="Times New Roman"/>
            <w:b/>
            <w:noProof/>
            <w:sz w:val="28"/>
            <w:szCs w:val="28"/>
          </w:rPr>
          <w:t>Введение</w:t>
        </w:r>
      </w:hyperlink>
    </w:p>
    <w:p w:rsidR="00B843CD" w:rsidRDefault="00B843CD" w:rsidP="00B843C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899" w:history="1">
        <w:r w:rsidRPr="00BA2AE6">
          <w:rPr>
            <w:rStyle w:val="a3"/>
            <w:rFonts w:eastAsia="Calibri" w:cs="Times New Roman"/>
            <w:b/>
            <w:noProof/>
            <w:sz w:val="28"/>
            <w:szCs w:val="28"/>
          </w:rPr>
          <w:t>1. Теоретико-правовые и методологические основы исследования принципов гражданского процесса</w:t>
        </w:r>
      </w:hyperlink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0" w:history="1">
        <w:r w:rsidRPr="00BA2AE6">
          <w:rPr>
            <w:rStyle w:val="a3"/>
            <w:rFonts w:eastAsia="Calibri" w:cs="Times New Roman"/>
            <w:noProof/>
            <w:sz w:val="28"/>
            <w:szCs w:val="28"/>
          </w:rPr>
          <w:t>1.1 Понятие принципов в науке гражданского процессуального права</w:t>
        </w:r>
      </w:hyperlink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1" w:history="1">
        <w:r w:rsidRPr="00BA2AE6">
          <w:rPr>
            <w:rStyle w:val="a3"/>
            <w:rFonts w:eastAsia="Calibri" w:cs="Times New Roman"/>
            <w:noProof/>
            <w:sz w:val="28"/>
            <w:szCs w:val="28"/>
          </w:rPr>
          <w:t>1.2 Подходы отдельных авторов к классификации принципов гражданского процесса</w:t>
        </w:r>
      </w:hyperlink>
    </w:p>
    <w:p w:rsidR="00B843CD" w:rsidRDefault="00B843CD" w:rsidP="00B843C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2" w:history="1">
        <w:r w:rsidRPr="00BA2AE6">
          <w:rPr>
            <w:rStyle w:val="a3"/>
            <w:rFonts w:eastAsia="Calibri" w:cs="Times New Roman"/>
            <w:b/>
            <w:noProof/>
            <w:sz w:val="28"/>
            <w:szCs w:val="28"/>
          </w:rPr>
          <w:t>2. Общая характеристика отдельных принципов гражданского процесса</w:t>
        </w:r>
      </w:hyperlink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3" w:history="1">
        <w:r w:rsidRPr="00BA2AE6">
          <w:rPr>
            <w:rStyle w:val="a3"/>
            <w:rFonts w:eastAsia="Calibri" w:cs="Times New Roman"/>
            <w:noProof/>
            <w:sz w:val="28"/>
            <w:szCs w:val="28"/>
          </w:rPr>
          <w:t>2.1 Характеристика принципа разумного срока рассмотрения дела как определяющего принципа гражданского судопроизводства</w:t>
        </w:r>
      </w:hyperlink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4" w:history="1">
        <w:r w:rsidRPr="00BA2AE6">
          <w:rPr>
            <w:rStyle w:val="a3"/>
            <w:rFonts w:eastAsia="Calibri" w:cs="Times New Roman"/>
            <w:noProof/>
            <w:sz w:val="28"/>
            <w:szCs w:val="28"/>
            <w:shd w:val="clear" w:color="auto" w:fill="FFFFFF"/>
          </w:rPr>
          <w:t>2.2 Принцип процессуальной экономии как фактор повышения эффективности гражданского судопроизводства</w:t>
        </w:r>
      </w:hyperlink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5" w:history="1">
        <w:r w:rsidRPr="00BA2AE6">
          <w:rPr>
            <w:rStyle w:val="a3"/>
            <w:rFonts w:eastAsia="Calibri" w:cs="Times New Roman"/>
            <w:noProof/>
            <w:sz w:val="28"/>
            <w:szCs w:val="28"/>
            <w:shd w:val="clear" w:color="auto" w:fill="FFFFFF"/>
          </w:rPr>
          <w:t>2.3 Роль темпоральных принципов в оптимизации гражданской процессуальной формы</w:t>
        </w:r>
      </w:hyperlink>
    </w:p>
    <w:p w:rsidR="00B843CD" w:rsidRDefault="00B843CD" w:rsidP="00B843C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6" w:history="1">
        <w:r w:rsidRPr="00BA2AE6">
          <w:rPr>
            <w:rStyle w:val="a3"/>
            <w:rFonts w:eastAsia="Calibri" w:cs="Times New Roman"/>
            <w:b/>
            <w:noProof/>
            <w:sz w:val="28"/>
            <w:szCs w:val="28"/>
            <w:shd w:val="clear" w:color="auto" w:fill="FFFFFF"/>
          </w:rPr>
          <w:t>3. Особенности реализации отдельных принципов гражданского процесса в суде</w:t>
        </w:r>
      </w:hyperlink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7" w:history="1">
        <w:r w:rsidRPr="00BA2AE6">
          <w:rPr>
            <w:rStyle w:val="a3"/>
            <w:rFonts w:eastAsia="Calibri" w:cs="Times New Roman"/>
            <w:noProof/>
            <w:sz w:val="28"/>
            <w:szCs w:val="28"/>
            <w:shd w:val="clear" w:color="auto" w:fill="FFFFFF"/>
          </w:rPr>
          <w:t>3.1. Особенности проявления принципов на стадии судебного рассмотрения гражданского дела в суде первой инстанции</w:t>
        </w:r>
      </w:hyperlink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8" w:history="1">
        <w:r w:rsidRPr="00BA2AE6">
          <w:rPr>
            <w:rStyle w:val="a3"/>
            <w:rFonts w:eastAsia="Calibri" w:cs="Times New Roman"/>
            <w:noProof/>
            <w:sz w:val="28"/>
            <w:szCs w:val="28"/>
            <w:shd w:val="clear" w:color="auto" w:fill="FFFFFF"/>
          </w:rPr>
          <w:t>3.2. Процессуальная роль принципов на стадии рассмотрения гражданского дела в порядке апелляционного производства</w:t>
        </w:r>
      </w:hyperlink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09" w:history="1">
        <w:r w:rsidRPr="00BA2AE6">
          <w:rPr>
            <w:rStyle w:val="a3"/>
            <w:rFonts w:eastAsia="Calibri" w:cs="Times New Roman"/>
            <w:noProof/>
            <w:sz w:val="28"/>
            <w:szCs w:val="28"/>
            <w:shd w:val="clear" w:color="auto" w:fill="FFFFFF"/>
          </w:rPr>
          <w:t>3.3. Принципы гражданского процесса в контексте пересмотра судебных решений Верховным Судом</w:t>
        </w:r>
      </w:hyperlink>
    </w:p>
    <w:p w:rsidR="00B843CD" w:rsidRDefault="00B843CD" w:rsidP="00B843C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B843CD" w:rsidRPr="00BA2AE6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10" w:history="1">
        <w:r w:rsidRPr="00BA2AE6">
          <w:rPr>
            <w:rStyle w:val="a3"/>
            <w:rFonts w:eastAsia="Calibri" w:cs="Times New Roman"/>
            <w:b/>
            <w:noProof/>
            <w:sz w:val="28"/>
            <w:szCs w:val="28"/>
            <w:shd w:val="clear" w:color="auto" w:fill="FFFFFF"/>
          </w:rPr>
          <w:t>Заключение</w:t>
        </w:r>
      </w:hyperlink>
    </w:p>
    <w:p w:rsidR="00B843CD" w:rsidRDefault="00B843CD" w:rsidP="00B843C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B843CD" w:rsidRDefault="00B843CD" w:rsidP="00B843C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5844911" w:history="1">
        <w:r w:rsidRPr="00BA2AE6">
          <w:rPr>
            <w:rStyle w:val="a3"/>
            <w:rFonts w:eastAsia="Calibri" w:cs="Times New Roman"/>
            <w:b/>
            <w:noProof/>
            <w:sz w:val="28"/>
            <w:szCs w:val="28"/>
            <w:shd w:val="clear" w:color="auto" w:fill="FFFFFF"/>
          </w:rPr>
          <w:t>Список использованной литературы</w:t>
        </w:r>
      </w:hyperlink>
    </w:p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Default="00B843CD" w:rsidP="00B843CD"/>
    <w:p w:rsidR="00B843CD" w:rsidRPr="001F3958" w:rsidRDefault="00B843CD" w:rsidP="00B843CD">
      <w:pPr>
        <w:pStyle w:val="1"/>
        <w:ind w:firstLine="709"/>
        <w:jc w:val="center"/>
        <w:rPr>
          <w:rFonts w:eastAsia="Calibri" w:cs="Times New Roman"/>
          <w:b/>
          <w:color w:val="333333"/>
          <w:szCs w:val="28"/>
          <w:shd w:val="clear" w:color="auto" w:fill="FFFFFF"/>
        </w:rPr>
      </w:pPr>
      <w:bookmarkStart w:id="0" w:name="_Toc135844910"/>
      <w:r w:rsidRPr="001F3958">
        <w:rPr>
          <w:rFonts w:eastAsia="Calibri" w:cs="Times New Roman"/>
          <w:b/>
          <w:color w:val="333333"/>
          <w:szCs w:val="28"/>
          <w:shd w:val="clear" w:color="auto" w:fill="FFFFFF"/>
        </w:rPr>
        <w:lastRenderedPageBreak/>
        <w:t>Заключение</w:t>
      </w:r>
      <w:bookmarkEnd w:id="0"/>
    </w:p>
    <w:p w:rsidR="00B843CD" w:rsidRDefault="00B843CD" w:rsidP="00B843CD">
      <w:pPr>
        <w:ind w:firstLine="709"/>
        <w:contextualSpacing/>
        <w:jc w:val="both"/>
        <w:rPr>
          <w:rFonts w:eastAsia="Calibri" w:cs="Times New Roman"/>
          <w:color w:val="333333"/>
          <w:sz w:val="28"/>
          <w:szCs w:val="28"/>
          <w:shd w:val="clear" w:color="auto" w:fill="FFFFFF"/>
        </w:rPr>
      </w:pPr>
    </w:p>
    <w:p w:rsidR="00B843CD" w:rsidRPr="00BB653C" w:rsidRDefault="00B843CD" w:rsidP="00B843CD">
      <w:pPr>
        <w:ind w:firstLine="709"/>
        <w:contextualSpacing/>
        <w:jc w:val="both"/>
        <w:rPr>
          <w:rFonts w:eastAsia="Calibri" w:cs="Times New Roman"/>
          <w:color w:val="333333"/>
          <w:sz w:val="28"/>
          <w:szCs w:val="28"/>
          <w:shd w:val="clear" w:color="auto" w:fill="FFFFFF"/>
        </w:rPr>
      </w:pPr>
      <w:r w:rsidRPr="00BB653C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В результате проведенного научного исследования осуществлено теоретическое обобщение и новое решение научной задачи реализации принципов гражданского судопроизводства. Проведенное исследование дало возможность сформулировать </w:t>
      </w: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>следующие выводы:</w:t>
      </w:r>
    </w:p>
    <w:p w:rsidR="00B843CD" w:rsidRDefault="00B843CD" w:rsidP="00B843CD">
      <w:pPr>
        <w:ind w:firstLine="709"/>
        <w:contextualSpacing/>
        <w:jc w:val="both"/>
        <w:rPr>
          <w:rFonts w:eastAsia="Calibri" w:cs="Times New Roman"/>
          <w:color w:val="333333"/>
          <w:sz w:val="28"/>
          <w:szCs w:val="28"/>
          <w:shd w:val="clear" w:color="auto" w:fill="FFFFFF"/>
        </w:rPr>
      </w:pP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>1. П</w:t>
      </w:r>
      <w:r w:rsidRPr="00BB653C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редлагается </w:t>
      </w:r>
      <w:r w:rsidRPr="00B67EB5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авторское определение понятия </w:t>
      </w: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>«</w:t>
      </w:r>
      <w:r w:rsidRPr="00B67EB5">
        <w:rPr>
          <w:rFonts w:eastAsia="Calibri" w:cs="Times New Roman"/>
          <w:color w:val="333333"/>
          <w:sz w:val="28"/>
          <w:szCs w:val="28"/>
          <w:shd w:val="clear" w:color="auto" w:fill="FFFFFF"/>
        </w:rPr>
        <w:t>принципы гражданского судопроизводства</w:t>
      </w: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>»</w:t>
      </w:r>
      <w:r w:rsidRPr="00B67EB5">
        <w:rPr>
          <w:rFonts w:eastAsia="Calibri" w:cs="Times New Roman"/>
          <w:color w:val="333333"/>
          <w:sz w:val="28"/>
          <w:szCs w:val="28"/>
          <w:shd w:val="clear" w:color="auto" w:fill="FFFFFF"/>
        </w:rPr>
        <w:t>, под которыми предлагается понимать руководящие нормативные основы гражданского процессуального законодательства, носящие фундаментальный и универсальный характер, устанавливая наиболее значимые временные ориентиры для осуществления гражданского судопроизводства в целом, так и совершения отдельных процессуал</w:t>
      </w: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ьных действий, в частности. </w:t>
      </w:r>
    </w:p>
    <w:p w:rsidR="00B843CD" w:rsidRDefault="00B843CD" w:rsidP="00B843CD">
      <w:pPr>
        <w:ind w:firstLine="709"/>
        <w:contextualSpacing/>
        <w:jc w:val="both"/>
      </w:pP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2. </w:t>
      </w:r>
      <w:r w:rsidRPr="00014CAB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Исследование проблемы классификации принципов гражданского процессуального права </w:t>
      </w: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>показало</w:t>
      </w:r>
      <w:r w:rsidRPr="00014CAB">
        <w:rPr>
          <w:rFonts w:eastAsia="Calibri" w:cs="Times New Roman"/>
          <w:color w:val="333333"/>
          <w:sz w:val="28"/>
          <w:szCs w:val="28"/>
          <w:shd w:val="clear" w:color="auto" w:fill="FFFFFF"/>
        </w:rPr>
        <w:t>, что среди ученых не существует единой точки зрения относительно критериев разделения принципов гражданского процесса на отдельные группы.</w:t>
      </w:r>
      <w:r w:rsidRPr="00B172D2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>С</w:t>
      </w:r>
      <w:r w:rsidRPr="00014CAB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истему принципов гражданского процессуального права </w:t>
      </w: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>предложено</w:t>
      </w:r>
      <w:r w:rsidRPr="00014CAB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14CAB">
        <w:rPr>
          <w:rFonts w:eastAsia="Calibri" w:cs="Times New Roman"/>
          <w:color w:val="333333"/>
          <w:sz w:val="28"/>
          <w:szCs w:val="28"/>
          <w:shd w:val="clear" w:color="auto" w:fill="FFFFFF"/>
        </w:rPr>
        <w:t>определ</w:t>
      </w:r>
      <w:r>
        <w:rPr>
          <w:rFonts w:eastAsia="Calibri" w:cs="Times New Roman"/>
          <w:color w:val="333333"/>
          <w:sz w:val="28"/>
          <w:szCs w:val="28"/>
          <w:shd w:val="clear" w:color="auto" w:fill="FFFFFF"/>
        </w:rPr>
        <w:t>я</w:t>
      </w:r>
      <w:r w:rsidRPr="00014CAB">
        <w:rPr>
          <w:rFonts w:eastAsia="Calibri" w:cs="Times New Roman"/>
          <w:color w:val="333333"/>
          <w:sz w:val="28"/>
          <w:szCs w:val="28"/>
          <w:shd w:val="clear" w:color="auto" w:fill="FFFFFF"/>
        </w:rPr>
        <w:t>ть</w:t>
      </w:r>
      <w:proofErr w:type="gramEnd"/>
      <w:r w:rsidRPr="00014CAB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 как единую, неразрывную, упорядоченную по определенным критериям совокупность взаимосвязанных принципов, закрепленную нормами действующего законодательства.</w:t>
      </w:r>
    </w:p>
    <w:p w:rsidR="00B843CD" w:rsidRPr="00B843CD" w:rsidRDefault="00B843CD" w:rsidP="00B843CD"/>
    <w:p w:rsidR="00B843CD" w:rsidRDefault="00B843CD" w:rsidP="00B843CD">
      <w:pPr>
        <w:rPr>
          <w:sz w:val="28"/>
        </w:rPr>
      </w:pPr>
      <w:r w:rsidRPr="00BA2AE6">
        <w:rPr>
          <w:sz w:val="28"/>
          <w:szCs w:val="28"/>
        </w:rPr>
        <w:fldChar w:fldCharType="end"/>
      </w:r>
    </w:p>
    <w:p w:rsidR="0046077C" w:rsidRDefault="0046077C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Default="00B843CD"/>
    <w:p w:rsidR="00B843CD" w:rsidRPr="00BA2AE6" w:rsidRDefault="00B843CD" w:rsidP="00B843CD">
      <w:pPr>
        <w:pStyle w:val="1"/>
        <w:ind w:firstLine="709"/>
        <w:jc w:val="center"/>
        <w:rPr>
          <w:rFonts w:eastAsia="Calibri" w:cs="Times New Roman"/>
          <w:b/>
          <w:color w:val="333333"/>
          <w:szCs w:val="28"/>
          <w:shd w:val="clear" w:color="auto" w:fill="FFFFFF"/>
        </w:rPr>
      </w:pPr>
      <w:bookmarkStart w:id="1" w:name="_Toc135844911"/>
      <w:r w:rsidRPr="00BA2AE6">
        <w:rPr>
          <w:rFonts w:eastAsia="Calibri" w:cs="Times New Roman"/>
          <w:b/>
          <w:color w:val="333333"/>
          <w:szCs w:val="28"/>
          <w:shd w:val="clear" w:color="auto" w:fill="FFFFFF"/>
        </w:rPr>
        <w:lastRenderedPageBreak/>
        <w:t>Список использованной литературы</w:t>
      </w:r>
      <w:bookmarkEnd w:id="1"/>
    </w:p>
    <w:p w:rsidR="00B843CD" w:rsidRDefault="00B843CD" w:rsidP="00B843CD">
      <w:pPr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B843CD" w:rsidRPr="00A2404A" w:rsidRDefault="00B843CD" w:rsidP="00B843CD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04A">
        <w:rPr>
          <w:rFonts w:ascii="Times New Roman" w:hAnsi="Times New Roman" w:cs="Times New Roman"/>
          <w:sz w:val="28"/>
          <w:szCs w:val="28"/>
        </w:rPr>
        <w:t>Баймолдина</w:t>
      </w:r>
      <w:proofErr w:type="spellEnd"/>
      <w:r w:rsidRPr="00A2404A">
        <w:rPr>
          <w:rFonts w:ascii="Times New Roman" w:hAnsi="Times New Roman" w:cs="Times New Roman"/>
          <w:sz w:val="28"/>
          <w:szCs w:val="28"/>
        </w:rPr>
        <w:t xml:space="preserve"> З.Х. Гражданское процессуальное право Республики Казахстан: Учебник В 2- х т. - Алматы: </w:t>
      </w:r>
      <w:proofErr w:type="spellStart"/>
      <w:r w:rsidRPr="00A2404A">
        <w:rPr>
          <w:rFonts w:ascii="Times New Roman" w:hAnsi="Times New Roman" w:cs="Times New Roman"/>
          <w:sz w:val="28"/>
          <w:szCs w:val="28"/>
        </w:rPr>
        <w:t>КазГЮА</w:t>
      </w:r>
      <w:proofErr w:type="spellEnd"/>
      <w:r w:rsidRPr="00A2404A">
        <w:rPr>
          <w:rFonts w:ascii="Times New Roman" w:hAnsi="Times New Roman" w:cs="Times New Roman"/>
          <w:sz w:val="28"/>
          <w:szCs w:val="28"/>
        </w:rPr>
        <w:t>, 2001 - Т.1: Общая часть. - 468 с</w:t>
      </w:r>
    </w:p>
    <w:p w:rsidR="00B843CD" w:rsidRPr="00A2404A" w:rsidRDefault="00B843CD" w:rsidP="00B843CD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04A">
        <w:rPr>
          <w:rFonts w:ascii="Times New Roman" w:hAnsi="Times New Roman" w:cs="Times New Roman"/>
          <w:sz w:val="28"/>
          <w:szCs w:val="28"/>
        </w:rPr>
        <w:t>Камбарова</w:t>
      </w:r>
      <w:proofErr w:type="spellEnd"/>
      <w:r w:rsidRPr="00A2404A">
        <w:rPr>
          <w:rFonts w:ascii="Times New Roman" w:hAnsi="Times New Roman" w:cs="Times New Roman"/>
          <w:sz w:val="28"/>
          <w:szCs w:val="28"/>
        </w:rPr>
        <w:t xml:space="preserve"> Н. Ш. Гражданское процессуальное право Республики Казахстан. Учебное </w:t>
      </w:r>
      <w:proofErr w:type="gramStart"/>
      <w:r w:rsidRPr="00A2404A">
        <w:rPr>
          <w:rFonts w:ascii="Times New Roman" w:hAnsi="Times New Roman" w:cs="Times New Roman"/>
          <w:sz w:val="28"/>
          <w:szCs w:val="28"/>
        </w:rPr>
        <w:t>пособие.—</w:t>
      </w:r>
      <w:proofErr w:type="gramEnd"/>
      <w:r w:rsidRPr="00A2404A">
        <w:rPr>
          <w:rFonts w:ascii="Times New Roman" w:hAnsi="Times New Roman" w:cs="Times New Roman"/>
          <w:sz w:val="28"/>
          <w:szCs w:val="28"/>
        </w:rPr>
        <w:t xml:space="preserve"> Алматы: Издательство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04A">
        <w:rPr>
          <w:rFonts w:ascii="Times New Roman" w:hAnsi="Times New Roman" w:cs="Times New Roman"/>
          <w:sz w:val="28"/>
          <w:szCs w:val="28"/>
        </w:rPr>
        <w:t>NURPRESS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04A">
        <w:rPr>
          <w:rFonts w:ascii="Times New Roman" w:hAnsi="Times New Roman" w:cs="Times New Roman"/>
          <w:sz w:val="28"/>
          <w:szCs w:val="28"/>
        </w:rPr>
        <w:t>, 2019.— 316 с.</w:t>
      </w:r>
    </w:p>
    <w:p w:rsidR="00B843CD" w:rsidRPr="00A2404A" w:rsidRDefault="00B843CD" w:rsidP="00B843CD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04A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Pr="00A2404A">
        <w:rPr>
          <w:rFonts w:ascii="Times New Roman" w:hAnsi="Times New Roman" w:cs="Times New Roman"/>
          <w:sz w:val="28"/>
          <w:szCs w:val="28"/>
        </w:rPr>
        <w:t xml:space="preserve"> О. В. К вопросу о принципах гражданского судопроизводства по ГПК Республики Казахстан // Актуальные проблемы и перспективы развития правовой системы </w:t>
      </w:r>
      <w:proofErr w:type="gramStart"/>
      <w:r w:rsidRPr="00A2404A">
        <w:rPr>
          <w:rFonts w:ascii="Times New Roman" w:hAnsi="Times New Roman" w:cs="Times New Roman"/>
          <w:sz w:val="28"/>
          <w:szCs w:val="28"/>
        </w:rPr>
        <w:t>Казахстана :</w:t>
      </w:r>
      <w:proofErr w:type="gramEnd"/>
      <w:r w:rsidRPr="00A2404A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посвященной 110-летию со дня рождения министра внутренних дел Казахской ССР. – </w:t>
      </w:r>
      <w:proofErr w:type="spellStart"/>
      <w:r w:rsidRPr="00A2404A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A240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404A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A2404A">
        <w:rPr>
          <w:rFonts w:ascii="Times New Roman" w:hAnsi="Times New Roman" w:cs="Times New Roman"/>
          <w:sz w:val="28"/>
          <w:szCs w:val="28"/>
        </w:rPr>
        <w:t xml:space="preserve"> академия МВД Республики Казахстан, 2018. – С. 226-229.</w:t>
      </w:r>
    </w:p>
    <w:p w:rsidR="00B843CD" w:rsidRPr="00A2404A" w:rsidRDefault="00B843CD" w:rsidP="00B843CD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4A">
        <w:rPr>
          <w:rFonts w:ascii="Times New Roman" w:hAnsi="Times New Roman" w:cs="Times New Roman"/>
          <w:sz w:val="28"/>
          <w:szCs w:val="28"/>
        </w:rPr>
        <w:t xml:space="preserve">Протасов, В. Н.  Общая теория процессуального </w:t>
      </w:r>
      <w:proofErr w:type="gramStart"/>
      <w:r w:rsidRPr="00A2404A">
        <w:rPr>
          <w:rFonts w:ascii="Times New Roman" w:hAnsi="Times New Roman" w:cs="Times New Roman"/>
          <w:sz w:val="28"/>
          <w:szCs w:val="28"/>
        </w:rPr>
        <w:t>права :</w:t>
      </w:r>
      <w:proofErr w:type="gramEnd"/>
      <w:r w:rsidRPr="00A2404A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В. Н. Протасов. — </w:t>
      </w:r>
      <w:proofErr w:type="gramStart"/>
      <w:r w:rsidRPr="00A2404A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A2404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A2404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404A">
        <w:rPr>
          <w:rFonts w:ascii="Times New Roman" w:hAnsi="Times New Roman" w:cs="Times New Roman"/>
          <w:sz w:val="28"/>
          <w:szCs w:val="28"/>
        </w:rPr>
        <w:t>, 2020. — 186 с.</w:t>
      </w:r>
    </w:p>
    <w:p w:rsidR="00B843CD" w:rsidRPr="00F539F3" w:rsidRDefault="00B843CD" w:rsidP="00B843CD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04A">
        <w:rPr>
          <w:rFonts w:ascii="Times New Roman" w:hAnsi="Times New Roman" w:cs="Times New Roman"/>
          <w:sz w:val="28"/>
          <w:szCs w:val="28"/>
        </w:rPr>
        <w:t>Абайкызы</w:t>
      </w:r>
      <w:proofErr w:type="spellEnd"/>
      <w:r w:rsidRPr="00A2404A">
        <w:rPr>
          <w:rFonts w:ascii="Times New Roman" w:hAnsi="Times New Roman" w:cs="Times New Roman"/>
          <w:sz w:val="28"/>
          <w:szCs w:val="28"/>
        </w:rPr>
        <w:t xml:space="preserve"> М. Роль и значимость принципов гражданско-процессуального права Республики Казахстан // Юридическая техника. 2020. №14. С. 537-539</w:t>
      </w:r>
    </w:p>
    <w:p w:rsidR="00B843CD" w:rsidRDefault="00B843CD">
      <w:bookmarkStart w:id="2" w:name="_GoBack"/>
      <w:bookmarkEnd w:id="2"/>
    </w:p>
    <w:sectPr w:rsidR="00B8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3662"/>
    <w:multiLevelType w:val="hybridMultilevel"/>
    <w:tmpl w:val="FF9C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C5"/>
    <w:rsid w:val="0046077C"/>
    <w:rsid w:val="008239C5"/>
    <w:rsid w:val="00B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6B21"/>
  <w15:chartTrackingRefBased/>
  <w15:docId w15:val="{B00135CB-3C0A-47D7-BA7F-2A7505B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CD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843CD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B843CD"/>
    <w:pPr>
      <w:spacing w:after="100"/>
    </w:pPr>
  </w:style>
  <w:style w:type="character" w:styleId="a3">
    <w:name w:val="Hyperlink"/>
    <w:basedOn w:val="a0"/>
    <w:uiPriority w:val="99"/>
    <w:unhideWhenUsed/>
    <w:rsid w:val="00B843C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43CD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References,Bullets,List Paragraph (numbered (a)),List_Paragraph,Multilevel para_II,List Paragraph1,List Paragraph"/>
    <w:basedOn w:val="a"/>
    <w:link w:val="a5"/>
    <w:uiPriority w:val="99"/>
    <w:qFormat/>
    <w:rsid w:val="00B843CD"/>
    <w:pPr>
      <w:ind w:left="720"/>
      <w:contextualSpacing/>
    </w:pPr>
    <w:rPr>
      <w:rFonts w:asciiTheme="minorHAnsi" w:hAnsiTheme="minorHAnsi"/>
    </w:rPr>
  </w:style>
  <w:style w:type="character" w:customStyle="1" w:styleId="a5">
    <w:name w:val="Абзац списка Знак"/>
    <w:aliases w:val="References Знак,Bullets Знак,List Paragraph (numbered (a)) Знак,List_Paragraph Знак,Multilevel para_II Знак,List Paragraph1 Знак,List Paragraph Знак"/>
    <w:link w:val="a4"/>
    <w:uiPriority w:val="99"/>
    <w:locked/>
    <w:rsid w:val="00B8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2023-10-24T06:55:00Z</dcterms:created>
  <dcterms:modified xsi:type="dcterms:W3CDTF">2023-10-24T06:57:00Z</dcterms:modified>
</cp:coreProperties>
</file>