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FE" w:rsidRPr="006244FE" w:rsidRDefault="006244FE" w:rsidP="0062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6244FE" w:rsidRDefault="006244FE" w:rsidP="006244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244FE">
        <w:rPr>
          <w:rFonts w:ascii="Times New Roman" w:eastAsia="Times New Roman" w:hAnsi="Times New Roman"/>
          <w:sz w:val="28"/>
          <w:szCs w:val="20"/>
          <w:lang w:eastAsia="ru-RU"/>
        </w:rPr>
        <w:t>Мд_</w:t>
      </w:r>
      <w:r w:rsidRPr="006244FE">
        <w:rPr>
          <w:rFonts w:ascii="Times New Roman" w:eastAsia="Times New Roman" w:hAnsi="Times New Roman"/>
          <w:sz w:val="28"/>
          <w:szCs w:val="20"/>
          <w:lang w:eastAsia="ru-RU"/>
        </w:rPr>
        <w:t>Разработка</w:t>
      </w:r>
      <w:proofErr w:type="spellEnd"/>
      <w:r w:rsidRPr="006244FE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проекта стратегического плана развития инновационной отрасли промышленности на примере автоэлектронной промышленности</w:t>
      </w:r>
    </w:p>
    <w:p w:rsidR="006244FE" w:rsidRDefault="006244FE" w:rsidP="006244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Стр_66</w:t>
      </w:r>
    </w:p>
    <w:p w:rsidR="006244FE" w:rsidRPr="006244FE" w:rsidRDefault="006244FE" w:rsidP="006244FE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37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6244FE" w:rsidRPr="006244FE" w:rsidRDefault="006244FE" w:rsidP="006244FE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38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 ОБЗОР ПРЕДМЕТНОЙ ОБЛАСТИ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39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1.1. Проблемы, возникающие в результате реализации стратегического плана развития инновационной отрасли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40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1.2. Существующие подходы стратегического плана развития инновационной отрасли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41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1.3. Методы, инструменты и технология формирования и обоснования стратегического плана развития инновационной отрасли</w:t>
        </w:r>
      </w:hyperlink>
    </w:p>
    <w:p w:rsidR="006244FE" w:rsidRPr="006244FE" w:rsidRDefault="006244FE" w:rsidP="006244FE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42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 АНАЛИЗ ДЕЙСТВУЮЩЕГО СТРАТЕГИЧЕСКОГО ПЛАНА РАЗВИТИЯ ИННОВАЦИОННОЙ ОТРАСЛИ ПРОМЫШЛЕННОСТИ НА ПРИМЕРЕ АВТОЭЛЕКТРОННОЙ ПРОМЫШЛЕННОСТИ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43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2.1. Текущее состояние автоэлектронной промышленности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44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2.2. Анализ и оценка стратегического плана развития инновационной отрасли автоэлектронной промышленности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45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2.3. Анализ процессов формирования и реализации стратегического плана развития инновационной отрасли автоэлектронной промышленности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r:id="rId5" w:anchor="_Toc143257746" w:history="1">
        <w:r w:rsidRPr="006244FE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val="x-none" w:eastAsia="x-none"/>
          </w:rPr>
          <w:t>Качество контрактов инвестиционной фазы проект</w:t>
        </w:r>
        <w:r w:rsidRPr="006244FE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x-none"/>
          </w:rPr>
          <w:t>ов</w:t>
        </w:r>
      </w:hyperlink>
    </w:p>
    <w:p w:rsidR="006244FE" w:rsidRPr="006244FE" w:rsidRDefault="006244FE" w:rsidP="006244FE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47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3. ПУТИ СОВЕРШЕНСТВОВАНИЯ СТРАТЕГИЧЕСКОГО ПЛАНА РАЗВИТИЯ ИННОВАЦИОННОЙ ОТРАСЛИ ПРОМЫШЛЕННОСТИ НА ПРИМЕРЕ АВТОЭЛЕКТРОННОЙ ПРОМЫШЛЕННОСТИ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48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3.1. Выбор и обоснование вариантов основных направлений оптимизации стратегического плана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r:id="rId6" w:anchor="_Toc143257749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Устаревшее оборудование</w:t>
        </w:r>
      </w:hyperlink>
    </w:p>
    <w:p w:rsidR="006244FE" w:rsidRPr="006244FE" w:rsidRDefault="006244FE" w:rsidP="006244FE">
      <w:pPr>
        <w:pStyle w:val="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50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3.2. Разработка рекомендаций по осуществлению стратегических изменений</w:t>
        </w:r>
      </w:hyperlink>
    </w:p>
    <w:p w:rsidR="006244FE" w:rsidRPr="006244FE" w:rsidRDefault="006244FE" w:rsidP="006244FE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51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6244FE" w:rsidRDefault="006244FE" w:rsidP="006244FE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</w:rPr>
      </w:pPr>
      <w:hyperlink w:anchor="_Toc143257752" w:history="1">
        <w:r w:rsidRPr="006244FE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6244FE" w:rsidRDefault="006244FE" w:rsidP="006244FE"/>
    <w:p w:rsidR="006244FE" w:rsidRDefault="006244FE" w:rsidP="006244FE"/>
    <w:p w:rsidR="006244FE" w:rsidRDefault="006244FE" w:rsidP="006244FE"/>
    <w:p w:rsidR="006244FE" w:rsidRPr="006244FE" w:rsidRDefault="006244FE" w:rsidP="006244FE">
      <w:pPr>
        <w:pStyle w:val="1"/>
        <w:jc w:val="center"/>
        <w:rPr>
          <w:sz w:val="28"/>
        </w:rPr>
      </w:pPr>
      <w:bookmarkStart w:id="0" w:name="_Toc143257751"/>
      <w:r w:rsidRPr="006244FE">
        <w:rPr>
          <w:sz w:val="28"/>
        </w:rPr>
        <w:lastRenderedPageBreak/>
        <w:t>Заключение</w:t>
      </w:r>
      <w:bookmarkEnd w:id="0"/>
    </w:p>
    <w:p w:rsidR="006244FE" w:rsidRPr="006244FE" w:rsidRDefault="006244FE" w:rsidP="006244F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6244FE" w:rsidRPr="006244FE" w:rsidRDefault="006244FE" w:rsidP="006244F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244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Стратегический план развития – это набор действий, операций, решений, предпринятых руководством предприятий, которые ведут к разработке определённых стратегий, предназначенных для достижения целей в их полном объёме.</w:t>
      </w:r>
    </w:p>
    <w:p w:rsidR="006244FE" w:rsidRPr="006244FE" w:rsidRDefault="006244FE" w:rsidP="006244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244FE">
        <w:rPr>
          <w:rFonts w:ascii="Times New Roman" w:hAnsi="Times New Roman"/>
          <w:color w:val="000000"/>
          <w:sz w:val="28"/>
          <w:szCs w:val="24"/>
        </w:rPr>
        <w:t>Стратегический план развития инновационной отрасли имеет свои преимущества и недостатки, поэтому, прежде чем выбрать одну из существующих стратегий, необходимо четко понять, какая из стратегий с наибольшей вероятностью приведет к достижению целей, поставленных руководством компании.</w:t>
      </w:r>
    </w:p>
    <w:p w:rsidR="006244FE" w:rsidRPr="006244FE" w:rsidRDefault="006244FE" w:rsidP="006244FE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244FE">
        <w:rPr>
          <w:rFonts w:ascii="Times New Roman" w:hAnsi="Times New Roman"/>
          <w:color w:val="000000"/>
          <w:sz w:val="28"/>
          <w:szCs w:val="24"/>
        </w:rPr>
        <w:t>В нынешних обстоятельствах существует необходимость в том, чтобы инновации и инвестиции служили ключевыми элементами в рамках экономического аспекта, гарантирующего устойчивый экономический рост предприятия. Тем не менее, оценка современной экономической практики показывает отсутствие общепринятых методологий для рассмотрения теоретических и методологических аспектов инновационной инициативы предприятия на различных этапах деятельности. Следовательно, решение задач, связанных с созданием операционной основы для реализации целей прогрессивного продвижения в предпринимательских структурах в рамках текущих сценариев, имеет значение не только в теоретическом, но и в практическом плане.</w:t>
      </w:r>
    </w:p>
    <w:p w:rsidR="006244FE" w:rsidRPr="006244FE" w:rsidRDefault="006244FE" w:rsidP="006244FE"/>
    <w:p w:rsidR="006244FE" w:rsidRPr="006244FE" w:rsidRDefault="006244FE" w:rsidP="006244FE">
      <w:pPr>
        <w:spacing w:after="0" w:line="240" w:lineRule="auto"/>
        <w:rPr>
          <w:rFonts w:ascii="Times New Roman" w:hAnsi="Times New Roman"/>
          <w:sz w:val="28"/>
        </w:rPr>
      </w:pPr>
    </w:p>
    <w:p w:rsidR="00C332C3" w:rsidRDefault="00C332C3"/>
    <w:p w:rsidR="006244FE" w:rsidRDefault="006244FE"/>
    <w:p w:rsidR="006244FE" w:rsidRDefault="006244FE"/>
    <w:p w:rsidR="006244FE" w:rsidRDefault="006244FE"/>
    <w:p w:rsidR="006244FE" w:rsidRDefault="006244FE"/>
    <w:p w:rsidR="006244FE" w:rsidRDefault="006244FE"/>
    <w:p w:rsidR="006244FE" w:rsidRDefault="006244FE" w:rsidP="006244FE">
      <w:pPr>
        <w:spacing w:after="0" w:line="360" w:lineRule="auto"/>
        <w:jc w:val="center"/>
        <w:rPr>
          <w:rFonts w:ascii="Times New Roman" w:eastAsia="BatangChe" w:hAnsi="Times New Roman"/>
          <w:sz w:val="28"/>
          <w:szCs w:val="28"/>
        </w:rPr>
      </w:pPr>
      <w:bookmarkStart w:id="1" w:name="_Toc143257752"/>
      <w:r w:rsidRPr="006244FE">
        <w:rPr>
          <w:rFonts w:ascii="Times New Roman" w:eastAsia="BatangChe" w:hAnsi="Times New Roman"/>
          <w:sz w:val="28"/>
          <w:szCs w:val="28"/>
        </w:rPr>
        <w:t>Список</w:t>
      </w:r>
      <w:r w:rsidRPr="006244FE">
        <w:rPr>
          <w:rFonts w:ascii="Times New Roman" w:eastAsia="BatangChe" w:hAnsi="Times New Roman"/>
          <w:sz w:val="28"/>
          <w:szCs w:val="28"/>
          <w:lang w:val="en-US"/>
        </w:rPr>
        <w:t xml:space="preserve"> </w:t>
      </w:r>
      <w:r w:rsidRPr="006244FE">
        <w:rPr>
          <w:rFonts w:ascii="Times New Roman" w:eastAsia="BatangChe" w:hAnsi="Times New Roman"/>
          <w:sz w:val="28"/>
          <w:szCs w:val="28"/>
        </w:rPr>
        <w:t>использованной</w:t>
      </w:r>
      <w:r w:rsidRPr="006244FE">
        <w:rPr>
          <w:rFonts w:ascii="Times New Roman" w:eastAsia="BatangChe" w:hAnsi="Times New Roman"/>
          <w:sz w:val="28"/>
          <w:szCs w:val="28"/>
          <w:lang w:val="en-US"/>
        </w:rPr>
        <w:t xml:space="preserve"> </w:t>
      </w:r>
      <w:bookmarkEnd w:id="1"/>
      <w:r w:rsidRPr="006244FE">
        <w:rPr>
          <w:rFonts w:ascii="Times New Roman" w:eastAsia="BatangChe" w:hAnsi="Times New Roman"/>
          <w:sz w:val="28"/>
          <w:szCs w:val="28"/>
        </w:rPr>
        <w:t>литературы</w:t>
      </w:r>
    </w:p>
    <w:p w:rsidR="006244FE" w:rsidRPr="006244FE" w:rsidRDefault="006244FE" w:rsidP="006244FE">
      <w:pPr>
        <w:spacing w:after="0" w:line="360" w:lineRule="auto"/>
        <w:jc w:val="center"/>
        <w:rPr>
          <w:rFonts w:ascii="Times New Roman" w:eastAsia="BatangChe" w:hAnsi="Times New Roman"/>
          <w:color w:val="000000"/>
          <w:sz w:val="28"/>
          <w:szCs w:val="28"/>
          <w:lang w:val="en-US" w:eastAsia="ru-RU"/>
        </w:rPr>
      </w:pPr>
      <w:bookmarkStart w:id="2" w:name="_GoBack"/>
      <w:bookmarkEnd w:id="2"/>
    </w:p>
    <w:p w:rsidR="006244FE" w:rsidRPr="006244FE" w:rsidRDefault="006244FE" w:rsidP="006244FE">
      <w:pPr>
        <w:pStyle w:val="a4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6244FE">
        <w:rPr>
          <w:rFonts w:ascii="Times New Roman" w:hAnsi="Times New Roman"/>
          <w:color w:val="000000"/>
          <w:sz w:val="28"/>
          <w:szCs w:val="24"/>
          <w:lang w:val="en-US" w:eastAsia="ru-RU"/>
        </w:rPr>
        <w:t xml:space="preserve">Tanja </w:t>
      </w:r>
      <w:proofErr w:type="spellStart"/>
      <w:r w:rsidRPr="006244FE">
        <w:rPr>
          <w:rFonts w:ascii="Times New Roman" w:hAnsi="Times New Roman"/>
          <w:color w:val="000000"/>
          <w:sz w:val="28"/>
          <w:szCs w:val="24"/>
          <w:lang w:val="en-US" w:eastAsia="ru-RU"/>
        </w:rPr>
        <w:t>LeppäahoSarah</w:t>
      </w:r>
      <w:proofErr w:type="spellEnd"/>
      <w:r w:rsidRPr="006244FE">
        <w:rPr>
          <w:rFonts w:ascii="Times New Roman" w:hAnsi="Times New Roman"/>
          <w:color w:val="000000"/>
          <w:sz w:val="28"/>
          <w:szCs w:val="24"/>
          <w:lang w:val="en-US" w:eastAsia="ru-RU"/>
        </w:rPr>
        <w:t xml:space="preserve"> </w:t>
      </w:r>
      <w:proofErr w:type="spellStart"/>
      <w:r w:rsidRPr="006244FE">
        <w:rPr>
          <w:rFonts w:ascii="Times New Roman" w:hAnsi="Times New Roman"/>
          <w:color w:val="000000"/>
          <w:sz w:val="28"/>
          <w:szCs w:val="24"/>
          <w:lang w:val="en-US" w:eastAsia="ru-RU"/>
        </w:rPr>
        <w:t>JackThe</w:t>
      </w:r>
      <w:proofErr w:type="spellEnd"/>
      <w:r w:rsidRPr="006244FE">
        <w:rPr>
          <w:rFonts w:ascii="Times New Roman" w:hAnsi="Times New Roman"/>
          <w:color w:val="000000"/>
          <w:sz w:val="28"/>
          <w:szCs w:val="24"/>
          <w:lang w:val="en-US" w:eastAsia="ru-RU"/>
        </w:rPr>
        <w:t xml:space="preserve"> Palgrave Handbook of Family Firm Internationalization MA: MIT Press, 2019. – 245 </w:t>
      </w:r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>р</w:t>
      </w:r>
      <w:r w:rsidRPr="006244FE">
        <w:rPr>
          <w:rFonts w:ascii="Times New Roman" w:hAnsi="Times New Roman"/>
          <w:color w:val="000000"/>
          <w:sz w:val="28"/>
          <w:szCs w:val="24"/>
          <w:lang w:val="en-US" w:eastAsia="ru-RU"/>
        </w:rPr>
        <w:t>.</w:t>
      </w:r>
    </w:p>
    <w:p w:rsidR="006244FE" w:rsidRPr="006244FE" w:rsidRDefault="006244FE" w:rsidP="006244FE">
      <w:pPr>
        <w:pStyle w:val="a4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spellStart"/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>Ансофф</w:t>
      </w:r>
      <w:proofErr w:type="spellEnd"/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И. Стратегическое управление / И. </w:t>
      </w:r>
      <w:proofErr w:type="spellStart"/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>Ансофф</w:t>
      </w:r>
      <w:proofErr w:type="spellEnd"/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>. – М.: Экономика, 2017. - 519 с.</w:t>
      </w:r>
    </w:p>
    <w:p w:rsidR="006244FE" w:rsidRPr="006244FE" w:rsidRDefault="006244FE" w:rsidP="006244FE">
      <w:pPr>
        <w:pStyle w:val="a4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>Архипов В.М. Виды и факторы, влияющие на формирование стратегии развития предприятия и диагностики компании / В.М. Архипов. – СПб.: СПБГУЭФ, 2017. - 245 с.</w:t>
      </w:r>
    </w:p>
    <w:p w:rsidR="006244FE" w:rsidRPr="006244FE" w:rsidRDefault="006244FE" w:rsidP="006244FE">
      <w:pPr>
        <w:pStyle w:val="a4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spellStart"/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>Валдайцев</w:t>
      </w:r>
      <w:proofErr w:type="spellEnd"/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С.В. Стратегия инвесторов предприятия и агентская проблема / С.В. </w:t>
      </w:r>
      <w:proofErr w:type="spellStart"/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>Валдайцев</w:t>
      </w:r>
      <w:proofErr w:type="spellEnd"/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>.  – СПб.: 2017. – 136 с.</w:t>
      </w:r>
    </w:p>
    <w:p w:rsidR="006244FE" w:rsidRPr="006244FE" w:rsidRDefault="006244FE" w:rsidP="006244FE">
      <w:pPr>
        <w:pStyle w:val="a4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244FE">
        <w:rPr>
          <w:rFonts w:ascii="Times New Roman" w:hAnsi="Times New Roman"/>
          <w:color w:val="000000"/>
          <w:sz w:val="28"/>
          <w:szCs w:val="24"/>
          <w:lang w:eastAsia="ru-RU"/>
        </w:rPr>
        <w:t>Грязнов Г.С., Черных И.Х. Менеджмент и организация // Экономика и жизнь. – 2020. №5. - С.46-52.</w:t>
      </w:r>
    </w:p>
    <w:p w:rsidR="006244FE" w:rsidRDefault="006244FE"/>
    <w:sectPr w:rsidR="0062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B3F"/>
    <w:multiLevelType w:val="hybridMultilevel"/>
    <w:tmpl w:val="46EC51C0"/>
    <w:lvl w:ilvl="0" w:tplc="6B04D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A1"/>
    <w:rsid w:val="001A7FA1"/>
    <w:rsid w:val="006244FE"/>
    <w:rsid w:val="00C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E39E"/>
  <w15:chartTrackingRefBased/>
  <w15:docId w15:val="{16C93C91-1252-4DF0-9C14-2F180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F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44FE"/>
    <w:pPr>
      <w:spacing w:after="0" w:line="360" w:lineRule="auto"/>
      <w:ind w:firstLine="709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44F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244F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244FE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6244F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4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86;&#1082;&#1091;&#1084;&#1077;&#1085;&#1090;&#1099;\001.%20&#1044;&#1080;&#1089;&#1089;&#1077;&#1088;&#1090;&#1072;&#1094;&#1080;&#1080;,%20&#1076;&#1080;&#1087;&#1083;&#1086;&#1084;&#1099;%20&#1080;%20&#1101;&#1082;&#1079;&#1072;&#1084;&#1077;&#1085;&#1099;\2022\&#1052;&#1048;&#1060;&#1048;\&#1052;&#1072;&#1081;&#1103;\&#1053;&#1048;&#1056;&#1052;\&#1053;&#1048;&#1056;&#1052;%201.docx" TargetMode="External"/><Relationship Id="rId5" Type="http://schemas.openxmlformats.org/officeDocument/2006/relationships/hyperlink" Target="file:///D:\&#1044;&#1086;&#1082;&#1091;&#1084;&#1077;&#1085;&#1090;&#1099;\001.%20&#1044;&#1080;&#1089;&#1089;&#1077;&#1088;&#1090;&#1072;&#1094;&#1080;&#1080;,%20&#1076;&#1080;&#1087;&#1083;&#1086;&#1084;&#1099;%20&#1080;%20&#1101;&#1082;&#1079;&#1072;&#1084;&#1077;&#1085;&#1099;\2022\&#1052;&#1048;&#1060;&#1048;\&#1052;&#1072;&#1081;&#1103;\&#1053;&#1048;&#1056;&#1052;\&#1053;&#1048;&#1056;&#1052;%2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2024-12-10T05:56:00Z</dcterms:created>
  <dcterms:modified xsi:type="dcterms:W3CDTF">2024-12-10T05:59:00Z</dcterms:modified>
</cp:coreProperties>
</file>