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BA" w:rsidRDefault="003A49BA" w:rsidP="003A49BA">
      <w:pPr>
        <w:jc w:val="center"/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Мд_</w:t>
      </w:r>
      <w:r w:rsidRPr="00391911">
        <w:rPr>
          <w:rFonts w:cs="Times New Roman"/>
          <w:sz w:val="28"/>
        </w:rPr>
        <w:t>Управление</w:t>
      </w:r>
      <w:proofErr w:type="spellEnd"/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бизнесом</w:t>
      </w:r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условиях</w:t>
      </w:r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достижения</w:t>
      </w:r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целей</w:t>
      </w:r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устойчивого</w:t>
      </w:r>
      <w:r>
        <w:rPr>
          <w:rFonts w:cs="Times New Roman"/>
          <w:sz w:val="28"/>
        </w:rPr>
        <w:t xml:space="preserve"> </w:t>
      </w:r>
      <w:r w:rsidRPr="00391911">
        <w:rPr>
          <w:rFonts w:cs="Times New Roman"/>
          <w:sz w:val="28"/>
        </w:rPr>
        <w:t>развития</w:t>
      </w:r>
    </w:p>
    <w:p w:rsidR="003A49BA" w:rsidRDefault="003A49BA" w:rsidP="003A49BA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Стр_77</w:t>
      </w:r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55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56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 ТЕОРЕТИЧЕСКИЕ АСПЕКТЫ УПРАВЛЕНИЯ БИЗНЕСОВ В УСЛОВИЯХ ДОСТИЖЕНИЯ ЦЕЛЕЙ УСТОЙЧИВОГО РАЗВИТИЯ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57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1.1 Понятие и цели устойчивого развития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58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1.2 Особенности управления бизнесом в условиях достижения целей устойчивого развития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59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1.3 Зарубежный опыт внедрения целей устойчивого развития в управление бизнесом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0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 АНАЛИЗ ОСОБЕННОСТЕЙ УПРАВЛЕНИЯ БИЗНЕСОМ В УСЛОВИЯХ ДОСТИЖЕНИЯ ЦЕЛЕЙ УСТОЙЧИВОГО РАЗВИТИЯ НА ПРИМЕРЕ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1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2.1 Организационно-экономическая и финансовая характеристика деятельности компании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2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2.2 Реализация принципов и целей устойчивого развития в АО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3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2.3 Влияние политики компании в области устойчивого развития на систему управления бизнесом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4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3. Рекомендации по совершенствованию управления бизнесом в условиях достижения </w:t>
        </w:r>
        <w:r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целей устойчивого развития в АО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5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3.1 Оптимизация организационной структуры управления устойчивым развитием в компании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6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3.2 Разработка рекомендаций по обновлению концепции устойчивого развития компании</w:t>
        </w:r>
      </w:hyperlink>
    </w:p>
    <w:p w:rsidR="003A49BA" w:rsidRP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8227767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A49BA" w:rsidRDefault="003A49BA" w:rsidP="003A49BA">
      <w:pPr>
        <w:pStyle w:val="11"/>
        <w:tabs>
          <w:tab w:val="right" w:leader="dot" w:pos="9016"/>
        </w:tabs>
        <w:spacing w:after="0" w:line="360" w:lineRule="auto"/>
        <w:rPr>
          <w:noProof/>
          <w:sz w:val="28"/>
          <w:szCs w:val="28"/>
        </w:rPr>
      </w:pPr>
      <w:hyperlink w:anchor="_Toc168227768" w:history="1">
        <w:r w:rsidRPr="003A49B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3A49BA" w:rsidRDefault="003A49BA" w:rsidP="003A49BA"/>
    <w:p w:rsidR="003A49BA" w:rsidRDefault="003A49BA" w:rsidP="003A49BA"/>
    <w:p w:rsidR="003A49BA" w:rsidRDefault="003A49BA" w:rsidP="003A49BA"/>
    <w:p w:rsidR="003A49BA" w:rsidRDefault="003A49BA" w:rsidP="003A49BA"/>
    <w:p w:rsidR="003A49BA" w:rsidRDefault="003A49BA" w:rsidP="003A49BA"/>
    <w:p w:rsidR="003A49BA" w:rsidRDefault="003A49BA" w:rsidP="003A49BA"/>
    <w:p w:rsidR="003A49BA" w:rsidRDefault="003A49BA" w:rsidP="003A49BA"/>
    <w:p w:rsidR="003A49BA" w:rsidRDefault="003A49BA" w:rsidP="003A49BA"/>
    <w:p w:rsidR="003A49BA" w:rsidRDefault="003A49BA" w:rsidP="003A49BA"/>
    <w:p w:rsidR="003A49BA" w:rsidRPr="003A49BA" w:rsidRDefault="003A49BA" w:rsidP="003A49BA">
      <w:pPr>
        <w:pStyle w:val="1"/>
        <w:jc w:val="center"/>
        <w:rPr>
          <w:rFonts w:cs="Times New Roman"/>
          <w:b/>
          <w:szCs w:val="28"/>
        </w:rPr>
      </w:pPr>
      <w:bookmarkStart w:id="0" w:name="_Toc168227767"/>
      <w:r w:rsidRPr="003A49BA">
        <w:rPr>
          <w:rFonts w:cs="Times New Roman"/>
          <w:b/>
          <w:szCs w:val="28"/>
        </w:rPr>
        <w:lastRenderedPageBreak/>
        <w:t>ЗАКЛЮЧЕНИЕ</w:t>
      </w:r>
      <w:bookmarkEnd w:id="0"/>
    </w:p>
    <w:p w:rsidR="003A49BA" w:rsidRPr="003A49BA" w:rsidRDefault="003A49BA" w:rsidP="003A49BA">
      <w:pPr>
        <w:pStyle w:val="Para"/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A49BA">
        <w:rPr>
          <w:rFonts w:ascii="Times New Roman" w:hAnsi="Times New Roman" w:cs="Times New Roman"/>
          <w:sz w:val="28"/>
          <w:szCs w:val="28"/>
          <w:lang w:val="ru-RU"/>
        </w:rPr>
        <w:t>Проведенное в рамках данной работы исследование позволило сделать следующие выводы.</w:t>
      </w:r>
    </w:p>
    <w:p w:rsidR="003A49BA" w:rsidRPr="003A49BA" w:rsidRDefault="003A49BA" w:rsidP="003A49BA">
      <w:pPr>
        <w:pStyle w:val="a4"/>
        <w:ind w:firstLine="709"/>
        <w:jc w:val="both"/>
        <w:rPr>
          <w:rFonts w:eastAsia="Times New Roman"/>
          <w:kern w:val="28"/>
          <w:sz w:val="28"/>
          <w:szCs w:val="28"/>
        </w:rPr>
      </w:pPr>
      <w:r w:rsidRPr="003A49BA">
        <w:rPr>
          <w:rFonts w:eastAsia="Times New Roman"/>
          <w:kern w:val="28"/>
          <w:sz w:val="28"/>
          <w:szCs w:val="28"/>
        </w:rPr>
        <w:t>Основой устойчивого развития является единство и неразрывность трех компонентов: экономической эффективности, экологической безопасности и социальной справедливости. В соответствии с триединым характером устойчивого развития его целью является обеспечение качества экономического роста, сохранение биосферы, удовлетворение жизненных потребностей всех слоев населения. Триединый механизм устойчивого развития: этически ориентированный рынок, мощная социальное государство, развитое гражданское общество. Итак, движущей силой устойчивого развития являются: власть, бизнес, гражданское общество, наука.</w:t>
      </w:r>
    </w:p>
    <w:p w:rsidR="003A49BA" w:rsidRPr="003A49BA" w:rsidRDefault="003A49BA" w:rsidP="003A49BA">
      <w:pPr>
        <w:rPr>
          <w:rFonts w:cs="Times New Roman"/>
          <w:sz w:val="28"/>
          <w:szCs w:val="28"/>
        </w:rPr>
      </w:pPr>
    </w:p>
    <w:p w:rsidR="003A49BA" w:rsidRPr="003A49BA" w:rsidRDefault="003A49BA" w:rsidP="003A49BA">
      <w:pPr>
        <w:rPr>
          <w:rFonts w:cs="Times New Roman"/>
          <w:sz w:val="28"/>
          <w:szCs w:val="28"/>
        </w:rPr>
      </w:pPr>
    </w:p>
    <w:p w:rsidR="00C332C3" w:rsidRDefault="00C332C3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Default="003A49BA"/>
    <w:p w:rsidR="003A49BA" w:rsidRPr="003A49BA" w:rsidRDefault="003A49BA" w:rsidP="003A49BA">
      <w:pPr>
        <w:pStyle w:val="1"/>
        <w:spacing w:line="480" w:lineRule="auto"/>
        <w:jc w:val="center"/>
        <w:rPr>
          <w:rFonts w:cs="Times New Roman"/>
          <w:b/>
          <w:szCs w:val="28"/>
        </w:rPr>
      </w:pPr>
      <w:bookmarkStart w:id="1" w:name="_Toc168227768"/>
      <w:bookmarkStart w:id="2" w:name="_GoBack"/>
      <w:r w:rsidRPr="003A49BA">
        <w:rPr>
          <w:rFonts w:cs="Times New Roman"/>
          <w:b/>
          <w:szCs w:val="28"/>
        </w:rPr>
        <w:t>СПИСОК ИСПОЛЬЗОВАННЫХ ИСТОЧНИКОВ</w:t>
      </w:r>
      <w:bookmarkEnd w:id="1"/>
    </w:p>
    <w:p w:rsidR="003A49BA" w:rsidRPr="003A49BA" w:rsidRDefault="003A49BA" w:rsidP="003A49BA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eastAsia="Times New Roman"/>
          <w:kern w:val="28"/>
          <w:sz w:val="28"/>
          <w:szCs w:val="28"/>
        </w:rPr>
      </w:pPr>
      <w:r w:rsidRPr="003A49BA">
        <w:rPr>
          <w:rFonts w:eastAsia="Times New Roman"/>
          <w:kern w:val="28"/>
          <w:sz w:val="28"/>
          <w:szCs w:val="28"/>
        </w:rPr>
        <w:t xml:space="preserve">Ануфриев, В. П. Устойчивое развитие.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Энергоэффективность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. Зеленая </w:t>
      </w:r>
      <w:proofErr w:type="gramStart"/>
      <w:r w:rsidRPr="003A49BA">
        <w:rPr>
          <w:rFonts w:eastAsia="Times New Roman"/>
          <w:kern w:val="28"/>
          <w:sz w:val="28"/>
          <w:szCs w:val="28"/>
        </w:rPr>
        <w:t>экономика :</w:t>
      </w:r>
      <w:proofErr w:type="gramEnd"/>
      <w:r w:rsidRPr="003A49BA">
        <w:rPr>
          <w:rFonts w:eastAsia="Times New Roman"/>
          <w:kern w:val="28"/>
          <w:sz w:val="28"/>
          <w:szCs w:val="28"/>
        </w:rPr>
        <w:t xml:space="preserve"> монография / В.П. Ануфриев, Ю.В. Гудим, А.А. Каминов. — </w:t>
      </w:r>
      <w:proofErr w:type="gramStart"/>
      <w:r w:rsidRPr="003A49BA">
        <w:rPr>
          <w:rFonts w:eastAsia="Times New Roman"/>
          <w:kern w:val="28"/>
          <w:sz w:val="28"/>
          <w:szCs w:val="28"/>
        </w:rPr>
        <w:t>Москва :</w:t>
      </w:r>
      <w:proofErr w:type="gramEnd"/>
      <w:r w:rsidRPr="003A49BA">
        <w:rPr>
          <w:rFonts w:eastAsia="Times New Roman"/>
          <w:kern w:val="28"/>
          <w:sz w:val="28"/>
          <w:szCs w:val="28"/>
        </w:rPr>
        <w:t xml:space="preserve"> ИНФРА-М, 2023. — 201 с. </w:t>
      </w:r>
    </w:p>
    <w:p w:rsidR="003A49BA" w:rsidRPr="003A49BA" w:rsidRDefault="003A49BA" w:rsidP="003A49BA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eastAsia="Times New Roman"/>
          <w:kern w:val="28"/>
          <w:sz w:val="28"/>
          <w:szCs w:val="28"/>
        </w:rPr>
      </w:pPr>
      <w:proofErr w:type="spellStart"/>
      <w:r w:rsidRPr="003A49BA">
        <w:rPr>
          <w:rFonts w:eastAsia="Times New Roman"/>
          <w:kern w:val="28"/>
          <w:sz w:val="28"/>
          <w:szCs w:val="28"/>
        </w:rPr>
        <w:t>Ахметшина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 А. Р., Салихов И. Ф. Реализация концептуальных положений устойчивого развития на современных предприятиях: зарубежный опыт // ВЭПС. 2020. №4. URL: https://cyberleninka.ru/article/n/realizatsiya-kontseptualnyh-polozheniy-ustoychivogo-razvitiya-na-sovremennyh-predpriyatiyah-zarubezhnyy-opyt (дата обращения: 16.04.2024).</w:t>
      </w:r>
    </w:p>
    <w:p w:rsidR="003A49BA" w:rsidRPr="003A49BA" w:rsidRDefault="003A49BA" w:rsidP="003A49BA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eastAsia="Times New Roman"/>
          <w:kern w:val="28"/>
          <w:sz w:val="28"/>
          <w:szCs w:val="28"/>
        </w:rPr>
      </w:pPr>
      <w:r w:rsidRPr="003A49BA">
        <w:rPr>
          <w:rFonts w:eastAsia="Times New Roman"/>
          <w:kern w:val="28"/>
          <w:sz w:val="28"/>
          <w:szCs w:val="28"/>
        </w:rPr>
        <w:t xml:space="preserve">Бизнес-модели компаний и устойчивое </w:t>
      </w:r>
      <w:proofErr w:type="gramStart"/>
      <w:r w:rsidRPr="003A49BA">
        <w:rPr>
          <w:rFonts w:eastAsia="Times New Roman"/>
          <w:kern w:val="28"/>
          <w:sz w:val="28"/>
          <w:szCs w:val="28"/>
        </w:rPr>
        <w:t>развитие :</w:t>
      </w:r>
      <w:proofErr w:type="gramEnd"/>
      <w:r w:rsidRPr="003A49BA">
        <w:rPr>
          <w:rFonts w:eastAsia="Times New Roman"/>
          <w:kern w:val="28"/>
          <w:sz w:val="28"/>
          <w:szCs w:val="28"/>
        </w:rPr>
        <w:t xml:space="preserve"> монография / Е. М.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Каз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, И. В.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Краковецкая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, Е. В. Нехода, Н. А.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Редчикова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 ; науч. ред. Е. В. Нехода. - </w:t>
      </w:r>
      <w:proofErr w:type="gramStart"/>
      <w:r w:rsidRPr="003A49BA">
        <w:rPr>
          <w:rFonts w:eastAsia="Times New Roman"/>
          <w:kern w:val="28"/>
          <w:sz w:val="28"/>
          <w:szCs w:val="28"/>
        </w:rPr>
        <w:t>Томск :</w:t>
      </w:r>
      <w:proofErr w:type="gramEnd"/>
      <w:r w:rsidRPr="003A49BA">
        <w:rPr>
          <w:rFonts w:eastAsia="Times New Roman"/>
          <w:kern w:val="28"/>
          <w:sz w:val="28"/>
          <w:szCs w:val="28"/>
        </w:rPr>
        <w:t xml:space="preserve"> Издательство Томского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государственногоуниверситета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, 2020. - 214 с. </w:t>
      </w:r>
    </w:p>
    <w:p w:rsidR="003A49BA" w:rsidRPr="003A49BA" w:rsidRDefault="003A49BA" w:rsidP="003A49BA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eastAsia="Times New Roman"/>
          <w:kern w:val="28"/>
          <w:sz w:val="28"/>
          <w:szCs w:val="28"/>
        </w:rPr>
      </w:pPr>
      <w:r w:rsidRPr="003A49BA">
        <w:rPr>
          <w:rFonts w:eastAsia="Times New Roman"/>
          <w:kern w:val="28"/>
          <w:sz w:val="28"/>
          <w:szCs w:val="28"/>
        </w:rPr>
        <w:t>Бобылев С.Н., Захаров В.М. «Зеленая» экономика и модернизация. Эколого-экономические основы устойчивого развития. // На пути к устойчивому развитию России, № 60, 2012. – С.13-20</w:t>
      </w:r>
    </w:p>
    <w:p w:rsidR="003A49BA" w:rsidRPr="003A49BA" w:rsidRDefault="003A49BA" w:rsidP="003A49BA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eastAsia="Times New Roman"/>
          <w:kern w:val="28"/>
          <w:sz w:val="28"/>
          <w:szCs w:val="28"/>
        </w:rPr>
      </w:pPr>
      <w:proofErr w:type="spellStart"/>
      <w:r w:rsidRPr="003A49BA">
        <w:rPr>
          <w:rFonts w:eastAsia="Times New Roman"/>
          <w:kern w:val="28"/>
          <w:sz w:val="28"/>
          <w:szCs w:val="28"/>
        </w:rPr>
        <w:t>Брче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, М. А. Устойчивое развитие: механизмы </w:t>
      </w:r>
      <w:proofErr w:type="gramStart"/>
      <w:r w:rsidRPr="003A49BA">
        <w:rPr>
          <w:rFonts w:eastAsia="Times New Roman"/>
          <w:kern w:val="28"/>
          <w:sz w:val="28"/>
          <w:szCs w:val="28"/>
        </w:rPr>
        <w:t>реализации :</w:t>
      </w:r>
      <w:proofErr w:type="gramEnd"/>
      <w:r w:rsidRPr="003A49BA">
        <w:rPr>
          <w:rFonts w:eastAsia="Times New Roman"/>
          <w:kern w:val="28"/>
          <w:sz w:val="28"/>
          <w:szCs w:val="28"/>
        </w:rPr>
        <w:t xml:space="preserve"> монография / М. А.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Брче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, И. Н. Омельченко, А.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Шааб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 ; под ред. М. А. </w:t>
      </w:r>
      <w:proofErr w:type="spellStart"/>
      <w:r w:rsidRPr="003A49BA">
        <w:rPr>
          <w:rFonts w:eastAsia="Times New Roman"/>
          <w:kern w:val="28"/>
          <w:sz w:val="28"/>
          <w:szCs w:val="28"/>
        </w:rPr>
        <w:t>Брче</w:t>
      </w:r>
      <w:proofErr w:type="spellEnd"/>
      <w:r w:rsidRPr="003A49BA">
        <w:rPr>
          <w:rFonts w:eastAsia="Times New Roman"/>
          <w:kern w:val="28"/>
          <w:sz w:val="28"/>
          <w:szCs w:val="28"/>
        </w:rPr>
        <w:t xml:space="preserve">, И. Н. Омельченко. - </w:t>
      </w:r>
      <w:proofErr w:type="gramStart"/>
      <w:r w:rsidRPr="003A49BA">
        <w:rPr>
          <w:rFonts w:eastAsia="Times New Roman"/>
          <w:kern w:val="28"/>
          <w:sz w:val="28"/>
          <w:szCs w:val="28"/>
        </w:rPr>
        <w:t>Москва :</w:t>
      </w:r>
      <w:proofErr w:type="gramEnd"/>
      <w:r w:rsidRPr="003A49BA">
        <w:rPr>
          <w:rFonts w:eastAsia="Times New Roman"/>
          <w:kern w:val="28"/>
          <w:sz w:val="28"/>
          <w:szCs w:val="28"/>
        </w:rPr>
        <w:t xml:space="preserve"> МГТУ им. Баумана, 2020. - 172 с.</w:t>
      </w:r>
    </w:p>
    <w:bookmarkEnd w:id="2"/>
    <w:p w:rsidR="003A49BA" w:rsidRDefault="003A49BA"/>
    <w:sectPr w:rsidR="003A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nux Libertine O">
    <w:altName w:val="Times New Roman"/>
    <w:panose1 w:val="00000000000000000000"/>
    <w:charset w:val="00"/>
    <w:family w:val="auto"/>
    <w:notTrueType/>
    <w:pitch w:val="variable"/>
    <w:sig w:usb0="00000000" w:usb1="5200E5FB" w:usb2="0200002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1C9"/>
    <w:multiLevelType w:val="hybridMultilevel"/>
    <w:tmpl w:val="61149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A8"/>
    <w:rsid w:val="00104AA8"/>
    <w:rsid w:val="003A49BA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5FC9"/>
  <w15:chartTrackingRefBased/>
  <w15:docId w15:val="{4B7C02C6-872E-4AD4-9098-540C85C8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B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A49BA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49B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A49BA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3A49B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No Spacing"/>
    <w:uiPriority w:val="1"/>
    <w:qFormat/>
    <w:rsid w:val="003A49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Para">
    <w:name w:val="Para"/>
    <w:basedOn w:val="a"/>
    <w:next w:val="a"/>
    <w:rsid w:val="003A49BA"/>
    <w:pPr>
      <w:spacing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2024-12-09T05:28:00Z</dcterms:created>
  <dcterms:modified xsi:type="dcterms:W3CDTF">2024-12-09T05:30:00Z</dcterms:modified>
</cp:coreProperties>
</file>