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92A" w:rsidRDefault="00D76EC6" w:rsidP="00D76EC6">
      <w:pPr>
        <w:jc w:val="center"/>
        <w:rPr>
          <w:sz w:val="28"/>
          <w:szCs w:val="27"/>
          <w:shd w:val="clear" w:color="auto" w:fill="FFFFFF"/>
          <w:lang w:val="ru-RU"/>
        </w:rPr>
      </w:pPr>
      <w:proofErr w:type="spellStart"/>
      <w:r w:rsidRPr="00D76EC6">
        <w:rPr>
          <w:sz w:val="28"/>
          <w:szCs w:val="27"/>
          <w:shd w:val="clear" w:color="auto" w:fill="FFFFFF"/>
          <w:lang w:val="ru-RU"/>
        </w:rPr>
        <w:t>Мд_</w:t>
      </w:r>
      <w:r w:rsidRPr="00D76EC6">
        <w:rPr>
          <w:sz w:val="28"/>
          <w:szCs w:val="27"/>
          <w:shd w:val="clear" w:color="auto" w:fill="FFFFFF"/>
          <w:lang w:val="ru-RU"/>
        </w:rPr>
        <w:t>Управление</w:t>
      </w:r>
      <w:proofErr w:type="spellEnd"/>
      <w:r w:rsidRPr="00D76EC6">
        <w:rPr>
          <w:sz w:val="28"/>
          <w:szCs w:val="27"/>
          <w:shd w:val="clear" w:color="auto" w:fill="FFFFFF"/>
          <w:lang w:val="ru-RU"/>
        </w:rPr>
        <w:t xml:space="preserve"> затратами на предприятии в кризисных условиях</w:t>
      </w:r>
    </w:p>
    <w:p w:rsidR="00D76EC6" w:rsidRDefault="00D76EC6" w:rsidP="00D76EC6">
      <w:pPr>
        <w:jc w:val="center"/>
        <w:rPr>
          <w:sz w:val="28"/>
          <w:szCs w:val="27"/>
          <w:shd w:val="clear" w:color="auto" w:fill="FFFFFF"/>
          <w:lang w:val="ru-RU"/>
        </w:rPr>
      </w:pPr>
      <w:r>
        <w:rPr>
          <w:sz w:val="28"/>
          <w:szCs w:val="27"/>
          <w:shd w:val="clear" w:color="auto" w:fill="FFFFFF"/>
          <w:lang w:val="ru-RU"/>
        </w:rPr>
        <w:t>Стр_50</w:t>
      </w:r>
    </w:p>
    <w:p w:rsidR="00D76EC6" w:rsidRPr="00D76EC6" w:rsidRDefault="00D76EC6" w:rsidP="00D76EC6">
      <w:pPr>
        <w:pStyle w:val="11"/>
        <w:tabs>
          <w:tab w:val="right" w:leader="dot" w:pos="9628"/>
        </w:tabs>
        <w:spacing w:after="0"/>
        <w:ind w:firstLine="709"/>
        <w:jc w:val="both"/>
        <w:rPr>
          <w:noProof/>
          <w:sz w:val="28"/>
          <w:lang w:val="ru-RU"/>
        </w:rPr>
      </w:pPr>
      <w:hyperlink w:anchor="_Toc157528071" w:history="1">
        <w:r w:rsidRPr="00D76EC6">
          <w:rPr>
            <w:rStyle w:val="a3"/>
            <w:noProof/>
            <w:color w:val="auto"/>
            <w:sz w:val="28"/>
            <w:u w:val="none"/>
            <w:lang w:val="ru-RU"/>
          </w:rPr>
          <w:t>ВВЕДЕНИЕ</w:t>
        </w:r>
      </w:hyperlink>
    </w:p>
    <w:p w:rsidR="00D76EC6" w:rsidRPr="00D76EC6" w:rsidRDefault="00D76EC6" w:rsidP="00D76EC6">
      <w:pPr>
        <w:pStyle w:val="11"/>
        <w:tabs>
          <w:tab w:val="right" w:leader="dot" w:pos="9628"/>
        </w:tabs>
        <w:spacing w:after="0"/>
        <w:ind w:firstLine="709"/>
        <w:jc w:val="both"/>
        <w:rPr>
          <w:noProof/>
          <w:sz w:val="28"/>
          <w:lang w:val="ru-RU"/>
        </w:rPr>
      </w:pPr>
      <w:hyperlink w:anchor="_Toc157528072" w:history="1">
        <w:r w:rsidRPr="00D76EC6">
          <w:rPr>
            <w:rStyle w:val="a3"/>
            <w:noProof/>
            <w:color w:val="auto"/>
            <w:sz w:val="28"/>
            <w:u w:val="none"/>
            <w:lang w:val="ru-RU"/>
          </w:rPr>
          <w:t>1. ТЕОРЕТИЧЕСКИЕ ПОДХОДЫ К ПРИМЕНЕНИЮ МЕХАНИЗМОВ УПРАВЛЕНИЯ ЗАТРАТАМИ БАНКА В УСЛОВИЯХ КРИЗИСА</w:t>
        </w:r>
      </w:hyperlink>
    </w:p>
    <w:p w:rsidR="00D76EC6" w:rsidRPr="00D76EC6" w:rsidRDefault="00D76EC6" w:rsidP="00D76EC6">
      <w:pPr>
        <w:pStyle w:val="2"/>
        <w:tabs>
          <w:tab w:val="right" w:leader="dot" w:pos="9628"/>
        </w:tabs>
        <w:spacing w:after="0"/>
        <w:ind w:left="0" w:firstLine="709"/>
        <w:jc w:val="both"/>
        <w:rPr>
          <w:noProof/>
          <w:sz w:val="28"/>
          <w:lang w:val="ru-RU"/>
        </w:rPr>
      </w:pPr>
      <w:hyperlink w:anchor="_Toc157528073" w:history="1">
        <w:r w:rsidRPr="00D76EC6">
          <w:rPr>
            <w:rStyle w:val="a3"/>
            <w:noProof/>
            <w:color w:val="auto"/>
            <w:sz w:val="28"/>
            <w:u w:val="none"/>
            <w:lang w:val="ru-RU"/>
          </w:rPr>
          <w:t>1.1 Сущность затрат банка</w:t>
        </w:r>
      </w:hyperlink>
    </w:p>
    <w:p w:rsidR="00D76EC6" w:rsidRPr="00D76EC6" w:rsidRDefault="00D76EC6" w:rsidP="00D76EC6">
      <w:pPr>
        <w:pStyle w:val="2"/>
        <w:tabs>
          <w:tab w:val="right" w:leader="dot" w:pos="9628"/>
        </w:tabs>
        <w:spacing w:after="0"/>
        <w:ind w:left="0" w:firstLine="709"/>
        <w:jc w:val="both"/>
        <w:rPr>
          <w:noProof/>
          <w:sz w:val="28"/>
          <w:lang w:val="ru-RU"/>
        </w:rPr>
      </w:pPr>
      <w:hyperlink w:anchor="_Toc157528074" w:history="1">
        <w:r w:rsidRPr="00D76EC6">
          <w:rPr>
            <w:rStyle w:val="a3"/>
            <w:noProof/>
            <w:color w:val="auto"/>
            <w:sz w:val="28"/>
            <w:u w:val="none"/>
            <w:lang w:val="ru-RU"/>
          </w:rPr>
          <w:t>1.2 Антикризисное управление банком</w:t>
        </w:r>
      </w:hyperlink>
    </w:p>
    <w:p w:rsidR="00D76EC6" w:rsidRPr="00D76EC6" w:rsidRDefault="00D76EC6" w:rsidP="00D76EC6">
      <w:pPr>
        <w:pStyle w:val="11"/>
        <w:tabs>
          <w:tab w:val="right" w:leader="dot" w:pos="9628"/>
        </w:tabs>
        <w:spacing w:after="0"/>
        <w:ind w:firstLine="709"/>
        <w:jc w:val="both"/>
        <w:rPr>
          <w:noProof/>
          <w:sz w:val="28"/>
          <w:lang w:val="ru-RU"/>
        </w:rPr>
      </w:pPr>
      <w:hyperlink w:anchor="_Toc157528075" w:history="1">
        <w:r w:rsidRPr="00D76EC6">
          <w:rPr>
            <w:rStyle w:val="a3"/>
            <w:noProof/>
            <w:color w:val="auto"/>
            <w:sz w:val="28"/>
            <w:u w:val="none"/>
            <w:lang w:val="ru-RU"/>
          </w:rPr>
          <w:t>2. ЭКОНОМИЧЕСКАЯ ОЦЕНКА И АНАЛИЗ УПРАВЛЕНИЯ ЗАТРАТАМИ БАНКА В УСЛОВИЯХ КРИЗИСА</w:t>
        </w:r>
      </w:hyperlink>
    </w:p>
    <w:p w:rsidR="00D76EC6" w:rsidRPr="00D76EC6" w:rsidRDefault="00D76EC6" w:rsidP="00D76EC6">
      <w:pPr>
        <w:pStyle w:val="2"/>
        <w:tabs>
          <w:tab w:val="right" w:leader="dot" w:pos="9628"/>
        </w:tabs>
        <w:spacing w:after="0"/>
        <w:ind w:left="0" w:firstLine="709"/>
        <w:jc w:val="both"/>
        <w:rPr>
          <w:noProof/>
          <w:sz w:val="28"/>
          <w:lang w:val="ru-RU"/>
        </w:rPr>
      </w:pPr>
      <w:hyperlink w:anchor="_Toc157528076" w:history="1">
        <w:r w:rsidRPr="00D76EC6">
          <w:rPr>
            <w:rStyle w:val="a3"/>
            <w:noProof/>
            <w:color w:val="auto"/>
            <w:sz w:val="28"/>
            <w:u w:val="none"/>
            <w:lang w:val="ru-RU"/>
          </w:rPr>
          <w:t xml:space="preserve">2.1 Особенности деятельности </w:t>
        </w:r>
        <w:r w:rsidRPr="00D76EC6">
          <w:rPr>
            <w:rStyle w:val="a3"/>
            <w:noProof/>
            <w:color w:val="auto"/>
            <w:sz w:val="28"/>
            <w:u w:val="none"/>
            <w:shd w:val="clear" w:color="auto" w:fill="FFFFFF"/>
            <w:lang w:val="ru-RU"/>
          </w:rPr>
          <w:t xml:space="preserve">АО </w:t>
        </w:r>
      </w:hyperlink>
    </w:p>
    <w:p w:rsidR="00D76EC6" w:rsidRPr="00D76EC6" w:rsidRDefault="00D76EC6" w:rsidP="00D76EC6">
      <w:pPr>
        <w:pStyle w:val="2"/>
        <w:tabs>
          <w:tab w:val="right" w:leader="dot" w:pos="9628"/>
        </w:tabs>
        <w:spacing w:after="0"/>
        <w:ind w:left="0" w:firstLine="709"/>
        <w:jc w:val="both"/>
        <w:rPr>
          <w:noProof/>
          <w:sz w:val="28"/>
          <w:lang w:val="ru-RU"/>
        </w:rPr>
      </w:pPr>
      <w:hyperlink w:anchor="_Toc157528077" w:history="1">
        <w:r w:rsidRPr="00D76EC6">
          <w:rPr>
            <w:rStyle w:val="a3"/>
            <w:noProof/>
            <w:color w:val="auto"/>
            <w:sz w:val="28"/>
            <w:u w:val="none"/>
            <w:lang w:val="ru-RU"/>
          </w:rPr>
          <w:t xml:space="preserve">2.2 </w:t>
        </w:r>
        <w:r w:rsidRPr="00D76EC6">
          <w:rPr>
            <w:rStyle w:val="a3"/>
            <w:noProof/>
            <w:color w:val="auto"/>
            <w:sz w:val="28"/>
            <w:u w:val="none"/>
            <w:shd w:val="clear" w:color="auto" w:fill="FFFFFF"/>
            <w:lang w:val="ru-RU"/>
          </w:rPr>
          <w:t xml:space="preserve">Системный подход к анализу затрат АО </w:t>
        </w:r>
      </w:hyperlink>
    </w:p>
    <w:p w:rsidR="00D76EC6" w:rsidRPr="00D76EC6" w:rsidRDefault="00D76EC6" w:rsidP="00D76EC6">
      <w:pPr>
        <w:pStyle w:val="2"/>
        <w:tabs>
          <w:tab w:val="right" w:leader="dot" w:pos="9628"/>
        </w:tabs>
        <w:spacing w:after="0"/>
        <w:ind w:left="0" w:firstLine="709"/>
        <w:jc w:val="both"/>
        <w:rPr>
          <w:noProof/>
          <w:sz w:val="28"/>
          <w:lang w:val="ru-RU"/>
        </w:rPr>
      </w:pPr>
      <w:hyperlink w:anchor="_Toc157528078" w:history="1">
        <w:r w:rsidRPr="00D76EC6">
          <w:rPr>
            <w:rStyle w:val="a3"/>
            <w:noProof/>
            <w:color w:val="auto"/>
            <w:sz w:val="28"/>
            <w:u w:val="none"/>
            <w:lang w:val="ru-RU"/>
          </w:rPr>
          <w:t>2.3 Недостатки управления затратами в условиях кризиса</w:t>
        </w:r>
      </w:hyperlink>
    </w:p>
    <w:p w:rsidR="00D76EC6" w:rsidRPr="00D76EC6" w:rsidRDefault="00D76EC6" w:rsidP="00D76EC6">
      <w:pPr>
        <w:pStyle w:val="11"/>
        <w:tabs>
          <w:tab w:val="right" w:leader="dot" w:pos="9628"/>
        </w:tabs>
        <w:spacing w:after="0"/>
        <w:ind w:firstLine="709"/>
        <w:jc w:val="both"/>
        <w:rPr>
          <w:noProof/>
          <w:sz w:val="28"/>
          <w:lang w:val="ru-RU"/>
        </w:rPr>
      </w:pPr>
      <w:hyperlink w:anchor="_Toc157528079" w:history="1">
        <w:r w:rsidRPr="00D76EC6">
          <w:rPr>
            <w:rStyle w:val="a3"/>
            <w:noProof/>
            <w:color w:val="auto"/>
            <w:sz w:val="28"/>
            <w:u w:val="none"/>
            <w:lang w:val="ru-RU"/>
          </w:rPr>
          <w:t>3. ОСНОВНЫЕ НАПРАВЛЕНИЯ СОВЕРШЕНСТВОВАНИЯ УПРАВЛЕНИЯ ЗАТРАТАМИ В УСЛОВИЯХ КРИЗИСА</w:t>
        </w:r>
      </w:hyperlink>
    </w:p>
    <w:p w:rsidR="00D76EC6" w:rsidRPr="00D76EC6" w:rsidRDefault="00D76EC6" w:rsidP="00D76EC6">
      <w:pPr>
        <w:pStyle w:val="11"/>
        <w:tabs>
          <w:tab w:val="right" w:leader="dot" w:pos="9628"/>
        </w:tabs>
        <w:spacing w:after="0"/>
        <w:ind w:firstLine="709"/>
        <w:jc w:val="both"/>
        <w:rPr>
          <w:noProof/>
          <w:sz w:val="28"/>
          <w:lang w:val="ru-RU"/>
        </w:rPr>
      </w:pPr>
      <w:hyperlink w:anchor="_Toc157528080" w:history="1">
        <w:r w:rsidRPr="00D76EC6">
          <w:rPr>
            <w:rStyle w:val="a3"/>
            <w:noProof/>
            <w:color w:val="auto"/>
            <w:sz w:val="28"/>
            <w:u w:val="none"/>
            <w:lang w:val="ru-RU"/>
          </w:rPr>
          <w:t>ЗАКЛЮЧЕНИЕ</w:t>
        </w:r>
      </w:hyperlink>
    </w:p>
    <w:p w:rsidR="00D76EC6" w:rsidRPr="00D76EC6" w:rsidRDefault="00D76EC6" w:rsidP="00D76EC6">
      <w:pPr>
        <w:pStyle w:val="11"/>
        <w:tabs>
          <w:tab w:val="right" w:leader="dot" w:pos="9628"/>
        </w:tabs>
        <w:spacing w:after="0"/>
        <w:ind w:firstLine="709"/>
        <w:jc w:val="both"/>
        <w:rPr>
          <w:noProof/>
          <w:sz w:val="28"/>
          <w:lang w:val="ru-RU"/>
        </w:rPr>
      </w:pPr>
      <w:hyperlink w:anchor="_Toc157528081" w:history="1">
        <w:r w:rsidRPr="00D76EC6">
          <w:rPr>
            <w:rStyle w:val="a3"/>
            <w:noProof/>
            <w:color w:val="auto"/>
            <w:sz w:val="28"/>
            <w:u w:val="none"/>
            <w:lang w:val="ru-RU"/>
          </w:rPr>
          <w:t>СПИСОК ИСПОЛЬЗОВАННОЙ ЛИТЕРАТУРЫ</w:t>
        </w:r>
      </w:hyperlink>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pStyle w:val="1"/>
        <w:spacing w:before="0"/>
        <w:jc w:val="center"/>
        <w:rPr>
          <w:rFonts w:ascii="Times New Roman" w:hAnsi="Times New Roman" w:cs="Times New Roman"/>
          <w:color w:val="auto"/>
          <w:lang w:val="ru-RU"/>
        </w:rPr>
      </w:pPr>
      <w:bookmarkStart w:id="0" w:name="_Toc157528080"/>
      <w:r w:rsidRPr="00020BD0">
        <w:rPr>
          <w:rFonts w:ascii="Times New Roman" w:hAnsi="Times New Roman" w:cs="Times New Roman"/>
          <w:color w:val="auto"/>
          <w:lang w:val="ru-RU"/>
        </w:rPr>
        <w:lastRenderedPageBreak/>
        <w:t>ЗАКЛЮЧЕНИЕ</w:t>
      </w:r>
      <w:bookmarkEnd w:id="0"/>
    </w:p>
    <w:p w:rsidR="00D76EC6" w:rsidRPr="00020BD0" w:rsidRDefault="00D76EC6" w:rsidP="00D76EC6">
      <w:pPr>
        <w:rPr>
          <w:sz w:val="28"/>
          <w:lang w:val="ru-RU"/>
        </w:rPr>
      </w:pPr>
    </w:p>
    <w:p w:rsidR="00D76EC6" w:rsidRDefault="00D76EC6" w:rsidP="00D76EC6">
      <w:pPr>
        <w:pStyle w:val="a4"/>
        <w:spacing w:before="0" w:beforeAutospacing="0" w:after="0" w:afterAutospacing="0"/>
        <w:ind w:firstLine="709"/>
        <w:jc w:val="both"/>
        <w:rPr>
          <w:sz w:val="28"/>
          <w:szCs w:val="28"/>
        </w:rPr>
      </w:pPr>
      <w:r>
        <w:rPr>
          <w:bCs/>
          <w:sz w:val="28"/>
          <w:szCs w:val="28"/>
        </w:rPr>
        <w:t>З</w:t>
      </w:r>
      <w:r w:rsidRPr="0045213F">
        <w:rPr>
          <w:bCs/>
          <w:sz w:val="28"/>
          <w:szCs w:val="28"/>
        </w:rPr>
        <w:t>атраты</w:t>
      </w:r>
      <w:r w:rsidRPr="0045213F">
        <w:rPr>
          <w:sz w:val="28"/>
          <w:szCs w:val="28"/>
        </w:rPr>
        <w:t xml:space="preserve"> </w:t>
      </w:r>
      <w:r>
        <w:rPr>
          <w:sz w:val="28"/>
          <w:szCs w:val="28"/>
        </w:rPr>
        <w:t>-</w:t>
      </w:r>
      <w:r w:rsidRPr="0045213F">
        <w:rPr>
          <w:sz w:val="28"/>
          <w:szCs w:val="28"/>
        </w:rPr>
        <w:t xml:space="preserve"> это оценка в деньгах стоимости трудовых, финансовых, информационных, материальных и иных типов ресурсов, которые требуются на производство и реализацию продуктов работы за конкретное время.</w:t>
      </w:r>
    </w:p>
    <w:p w:rsidR="00D76EC6" w:rsidRPr="00EE1F91" w:rsidRDefault="00D76EC6" w:rsidP="00D76EC6">
      <w:pPr>
        <w:pStyle w:val="a4"/>
        <w:widowControl w:val="0"/>
        <w:spacing w:before="0" w:beforeAutospacing="0" w:after="0" w:afterAutospacing="0"/>
        <w:ind w:firstLine="709"/>
        <w:jc w:val="both"/>
        <w:rPr>
          <w:sz w:val="28"/>
          <w:szCs w:val="28"/>
        </w:rPr>
      </w:pPr>
      <w:r w:rsidRPr="0045213F">
        <w:rPr>
          <w:sz w:val="28"/>
          <w:szCs w:val="28"/>
        </w:rPr>
        <w:t xml:space="preserve">Оптимизация затрат банка намного важнее, чем снижение и минимизация затрат, поскольку она предназначена для перспективы и включает в себя ряд способов подходов, разных методик от простого сокращения расходов до оптимальной налоговой базы. Выбор наиболее оптимального и эффективного метода зависит от решения конкретного управления и является индивидуальным для каждого банка. Разработка нормативной методики управления непроцентными расходами позволяет банку решить проблему создания механизма управления расходами, обеспечивающего оптимизацию и эффективного управление банковских расходов и их соответствие денежным потокам заработанных сумм. Этот метод должен стать основой для обеспечения прибыльной работы каждого подразделения, отделения и филиала банков в каждый конкретный момент времени и одновременно свести к минимуму зависимость банка от рыночной конъюнктуры и от внешних условий, </w:t>
      </w:r>
      <w:r w:rsidRPr="00EE1F91">
        <w:rPr>
          <w:sz w:val="28"/>
          <w:szCs w:val="28"/>
        </w:rPr>
        <w:t>оказываемых значительное влияние.</w:t>
      </w: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rPr>
          <w:lang w:val="ru-RU"/>
        </w:rPr>
      </w:pPr>
    </w:p>
    <w:p w:rsidR="00D76EC6" w:rsidRDefault="00D76EC6" w:rsidP="00D76EC6">
      <w:pPr>
        <w:tabs>
          <w:tab w:val="left" w:pos="1134"/>
        </w:tabs>
        <w:ind w:firstLine="709"/>
        <w:jc w:val="both"/>
        <w:rPr>
          <w:sz w:val="28"/>
          <w:szCs w:val="28"/>
          <w:lang w:val="ru-RU"/>
        </w:rPr>
      </w:pPr>
      <w:hyperlink w:anchor="_Toc157528081" w:history="1">
        <w:r w:rsidRPr="00D76EC6">
          <w:rPr>
            <w:rStyle w:val="a3"/>
            <w:noProof/>
            <w:color w:val="auto"/>
            <w:sz w:val="28"/>
            <w:u w:val="none"/>
            <w:lang w:val="ru-RU"/>
          </w:rPr>
          <w:t>СПИСОК ИСПОЛЬЗОВАННОЙ ЛИТЕРАТУРЫ</w:t>
        </w:r>
      </w:hyperlink>
      <w:bookmarkStart w:id="1" w:name="_GoBack"/>
      <w:bookmarkEnd w:id="1"/>
    </w:p>
    <w:p w:rsidR="00D76EC6" w:rsidRDefault="00D76EC6" w:rsidP="00D76EC6">
      <w:pPr>
        <w:tabs>
          <w:tab w:val="left" w:pos="1134"/>
        </w:tabs>
        <w:ind w:firstLine="709"/>
        <w:jc w:val="both"/>
        <w:rPr>
          <w:sz w:val="28"/>
          <w:szCs w:val="28"/>
          <w:lang w:val="ru-RU"/>
        </w:rPr>
      </w:pPr>
    </w:p>
    <w:p w:rsidR="00D76EC6" w:rsidRPr="00B81949" w:rsidRDefault="00D76EC6" w:rsidP="00D76EC6">
      <w:pPr>
        <w:tabs>
          <w:tab w:val="left" w:pos="1134"/>
        </w:tabs>
        <w:ind w:firstLine="709"/>
        <w:jc w:val="both"/>
        <w:rPr>
          <w:sz w:val="28"/>
          <w:szCs w:val="28"/>
          <w:lang w:val="ru-RU"/>
        </w:rPr>
      </w:pPr>
    </w:p>
    <w:p w:rsidR="00D76EC6" w:rsidRPr="00B81949" w:rsidRDefault="00D76EC6" w:rsidP="00D76EC6">
      <w:pPr>
        <w:pStyle w:val="a4"/>
        <w:widowControl w:val="0"/>
        <w:numPr>
          <w:ilvl w:val="0"/>
          <w:numId w:val="1"/>
        </w:numPr>
        <w:tabs>
          <w:tab w:val="left" w:pos="851"/>
          <w:tab w:val="left" w:pos="1134"/>
        </w:tabs>
        <w:spacing w:before="0" w:beforeAutospacing="0" w:after="0" w:afterAutospacing="0"/>
        <w:ind w:left="0" w:firstLine="709"/>
        <w:jc w:val="both"/>
        <w:rPr>
          <w:sz w:val="28"/>
          <w:szCs w:val="28"/>
        </w:rPr>
      </w:pPr>
      <w:r w:rsidRPr="00B81949">
        <w:rPr>
          <w:sz w:val="28"/>
          <w:szCs w:val="28"/>
        </w:rPr>
        <w:t>Бабич А.М., Соколова Л.Н. Финансы, денежное обращение и кредит [Текст] — М.: «Финансы и статистика», 2020. - 324 с.</w:t>
      </w:r>
    </w:p>
    <w:p w:rsidR="00D76EC6" w:rsidRPr="00B81949" w:rsidRDefault="00D76EC6" w:rsidP="00D76EC6">
      <w:pPr>
        <w:pStyle w:val="a4"/>
        <w:widowControl w:val="0"/>
        <w:numPr>
          <w:ilvl w:val="0"/>
          <w:numId w:val="1"/>
        </w:numPr>
        <w:tabs>
          <w:tab w:val="left" w:pos="851"/>
          <w:tab w:val="left" w:pos="1134"/>
        </w:tabs>
        <w:spacing w:before="0" w:beforeAutospacing="0" w:after="0" w:afterAutospacing="0"/>
        <w:ind w:left="0" w:firstLine="709"/>
        <w:jc w:val="both"/>
        <w:rPr>
          <w:sz w:val="28"/>
          <w:szCs w:val="28"/>
        </w:rPr>
      </w:pPr>
      <w:r w:rsidRPr="00B81949">
        <w:rPr>
          <w:sz w:val="28"/>
          <w:szCs w:val="28"/>
        </w:rPr>
        <w:t>Финансы и кредит субъектов / Л. И. Сергеев, А. Н. Соколов, В. П. Жданов [и др.]. - Калининград, 2019. - 320 с.</w:t>
      </w:r>
    </w:p>
    <w:p w:rsidR="00D76EC6" w:rsidRPr="00B81949" w:rsidRDefault="00D76EC6" w:rsidP="00D76EC6">
      <w:pPr>
        <w:pStyle w:val="a4"/>
        <w:widowControl w:val="0"/>
        <w:numPr>
          <w:ilvl w:val="0"/>
          <w:numId w:val="1"/>
        </w:numPr>
        <w:tabs>
          <w:tab w:val="left" w:pos="851"/>
          <w:tab w:val="left" w:pos="1134"/>
        </w:tabs>
        <w:spacing w:before="0" w:beforeAutospacing="0" w:after="0" w:afterAutospacing="0"/>
        <w:ind w:left="0" w:firstLine="709"/>
        <w:jc w:val="both"/>
        <w:rPr>
          <w:sz w:val="28"/>
          <w:szCs w:val="28"/>
        </w:rPr>
      </w:pPr>
      <w:r w:rsidRPr="00B81949">
        <w:rPr>
          <w:sz w:val="28"/>
          <w:szCs w:val="28"/>
        </w:rPr>
        <w:t xml:space="preserve">Леонтьев, В. Б. Финансы, деньги, кредит и банки / В.Е. Леонтьев, Н. П. </w:t>
      </w:r>
      <w:proofErr w:type="spellStart"/>
      <w:r w:rsidRPr="00B81949">
        <w:rPr>
          <w:sz w:val="28"/>
          <w:szCs w:val="28"/>
        </w:rPr>
        <w:t>Радковвкая</w:t>
      </w:r>
      <w:proofErr w:type="spellEnd"/>
      <w:r w:rsidRPr="00B81949">
        <w:rPr>
          <w:sz w:val="28"/>
          <w:szCs w:val="28"/>
        </w:rPr>
        <w:t>. - СПб., 2021. - 230 с.</w:t>
      </w:r>
    </w:p>
    <w:p w:rsidR="00D76EC6" w:rsidRPr="00B81949" w:rsidRDefault="00D76EC6" w:rsidP="00D76EC6">
      <w:pPr>
        <w:pStyle w:val="a4"/>
        <w:widowControl w:val="0"/>
        <w:numPr>
          <w:ilvl w:val="0"/>
          <w:numId w:val="1"/>
        </w:numPr>
        <w:tabs>
          <w:tab w:val="left" w:pos="851"/>
          <w:tab w:val="left" w:pos="1134"/>
        </w:tabs>
        <w:spacing w:before="0" w:beforeAutospacing="0" w:after="0" w:afterAutospacing="0"/>
        <w:ind w:left="0" w:firstLine="709"/>
        <w:jc w:val="both"/>
        <w:rPr>
          <w:sz w:val="28"/>
          <w:szCs w:val="28"/>
        </w:rPr>
      </w:pPr>
      <w:r w:rsidRPr="00B81949">
        <w:rPr>
          <w:sz w:val="28"/>
          <w:szCs w:val="28"/>
        </w:rPr>
        <w:t xml:space="preserve">Денежное хозяйство предприятий / А. Ю. Казак, О. Б. Веретенникова, М. С. </w:t>
      </w:r>
      <w:proofErr w:type="spellStart"/>
      <w:r w:rsidRPr="00B81949">
        <w:rPr>
          <w:sz w:val="28"/>
          <w:szCs w:val="28"/>
        </w:rPr>
        <w:t>Марамыгин</w:t>
      </w:r>
      <w:proofErr w:type="spellEnd"/>
      <w:r w:rsidRPr="00B81949">
        <w:rPr>
          <w:sz w:val="28"/>
          <w:szCs w:val="28"/>
        </w:rPr>
        <w:t xml:space="preserve"> [и др.]. - Екатеринбург, 2016. - 308 с.</w:t>
      </w:r>
    </w:p>
    <w:p w:rsidR="00D76EC6" w:rsidRPr="00B81949" w:rsidRDefault="00D76EC6" w:rsidP="00D76EC6">
      <w:pPr>
        <w:pStyle w:val="a4"/>
        <w:widowControl w:val="0"/>
        <w:numPr>
          <w:ilvl w:val="0"/>
          <w:numId w:val="1"/>
        </w:numPr>
        <w:tabs>
          <w:tab w:val="left" w:pos="851"/>
          <w:tab w:val="left" w:pos="1134"/>
        </w:tabs>
        <w:spacing w:before="0" w:beforeAutospacing="0" w:after="0" w:afterAutospacing="0"/>
        <w:ind w:left="0" w:firstLine="709"/>
        <w:jc w:val="both"/>
        <w:rPr>
          <w:sz w:val="28"/>
          <w:szCs w:val="28"/>
        </w:rPr>
      </w:pPr>
      <w:proofErr w:type="spellStart"/>
      <w:r w:rsidRPr="00B81949">
        <w:rPr>
          <w:sz w:val="28"/>
          <w:szCs w:val="28"/>
        </w:rPr>
        <w:t>Сенчагов</w:t>
      </w:r>
      <w:proofErr w:type="spellEnd"/>
      <w:r w:rsidRPr="00B81949">
        <w:rPr>
          <w:sz w:val="28"/>
          <w:szCs w:val="28"/>
        </w:rPr>
        <w:t xml:space="preserve">, В. К. Финансы, денежное обращение и кредит / В. К. </w:t>
      </w:r>
      <w:proofErr w:type="spellStart"/>
      <w:r w:rsidRPr="00B81949">
        <w:rPr>
          <w:sz w:val="28"/>
          <w:szCs w:val="28"/>
        </w:rPr>
        <w:t>Сенчагов</w:t>
      </w:r>
      <w:proofErr w:type="spellEnd"/>
      <w:r w:rsidRPr="00B81949">
        <w:rPr>
          <w:sz w:val="28"/>
          <w:szCs w:val="28"/>
        </w:rPr>
        <w:t>, А. И. Архипов. - М., 2019. - 152 с.</w:t>
      </w:r>
    </w:p>
    <w:p w:rsidR="00D76EC6" w:rsidRPr="00D76EC6" w:rsidRDefault="00D76EC6" w:rsidP="00D76EC6">
      <w:pPr>
        <w:rPr>
          <w:lang w:val="ru-RU"/>
        </w:rPr>
      </w:pPr>
    </w:p>
    <w:sectPr w:rsidR="00D76EC6" w:rsidRPr="00D76E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089" w:rsidRDefault="00564089" w:rsidP="00D76EC6">
      <w:r>
        <w:separator/>
      </w:r>
    </w:p>
  </w:endnote>
  <w:endnote w:type="continuationSeparator" w:id="0">
    <w:p w:rsidR="00564089" w:rsidRDefault="00564089" w:rsidP="00D7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089" w:rsidRDefault="00564089" w:rsidP="00D76EC6">
      <w:r>
        <w:separator/>
      </w:r>
    </w:p>
  </w:footnote>
  <w:footnote w:type="continuationSeparator" w:id="0">
    <w:p w:rsidR="00564089" w:rsidRDefault="00564089" w:rsidP="00D76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83293"/>
    <w:multiLevelType w:val="hybridMultilevel"/>
    <w:tmpl w:val="DBC48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B7"/>
    <w:rsid w:val="00564089"/>
    <w:rsid w:val="0076792A"/>
    <w:rsid w:val="00D76EC6"/>
    <w:rsid w:val="00FC6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DFA2"/>
  <w15:chartTrackingRefBased/>
  <w15:docId w15:val="{581B3D2B-D0FE-45B7-91B4-029752E4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E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D76EC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6EC6"/>
    <w:rPr>
      <w:color w:val="0000FF"/>
      <w:u w:val="single"/>
    </w:rPr>
  </w:style>
  <w:style w:type="paragraph" w:styleId="11">
    <w:name w:val="toc 1"/>
    <w:basedOn w:val="a"/>
    <w:next w:val="a"/>
    <w:autoRedefine/>
    <w:uiPriority w:val="39"/>
    <w:unhideWhenUsed/>
    <w:rsid w:val="00D76EC6"/>
    <w:pPr>
      <w:spacing w:after="100"/>
    </w:pPr>
  </w:style>
  <w:style w:type="paragraph" w:styleId="2">
    <w:name w:val="toc 2"/>
    <w:basedOn w:val="a"/>
    <w:next w:val="a"/>
    <w:autoRedefine/>
    <w:uiPriority w:val="39"/>
    <w:unhideWhenUsed/>
    <w:rsid w:val="00D76EC6"/>
    <w:pPr>
      <w:spacing w:after="100"/>
      <w:ind w:left="200"/>
    </w:pPr>
  </w:style>
  <w:style w:type="character" w:customStyle="1" w:styleId="10">
    <w:name w:val="Заголовок 1 Знак"/>
    <w:basedOn w:val="a0"/>
    <w:link w:val="1"/>
    <w:uiPriority w:val="9"/>
    <w:rsid w:val="00D76EC6"/>
    <w:rPr>
      <w:rFonts w:asciiTheme="majorHAnsi" w:eastAsiaTheme="majorEastAsia" w:hAnsiTheme="majorHAnsi" w:cstheme="majorBidi"/>
      <w:b/>
      <w:bCs/>
      <w:color w:val="2E74B5" w:themeColor="accent1" w:themeShade="BF"/>
      <w:sz w:val="28"/>
      <w:szCs w:val="28"/>
      <w:lang w:val="en-US" w:eastAsia="ru-RU"/>
    </w:rPr>
  </w:style>
  <w:style w:type="paragraph" w:styleId="a4">
    <w:name w:val="Normal (Web)"/>
    <w:aliases w:val="Обычный (Web)1,Знак4,Обычный (веб) Знак1,Обычный (веб) Знак Знак1,Знак Знак1 Знак,Обычный (веб) Знак Знак Знак,Обычный (веб) Знак Знак Знак Знак,Знак Знак Знак Знак Знак Знак Знак,Знак Знак Знак Знак, Знак Знак1 Знак, Знак Знак Знак Знак"/>
    <w:basedOn w:val="a"/>
    <w:link w:val="a5"/>
    <w:uiPriority w:val="99"/>
    <w:qFormat/>
    <w:rsid w:val="00D76EC6"/>
    <w:pPr>
      <w:overflowPunct/>
      <w:autoSpaceDE/>
      <w:autoSpaceDN/>
      <w:adjustRightInd/>
      <w:spacing w:before="100" w:beforeAutospacing="1" w:after="100" w:afterAutospacing="1"/>
      <w:textAlignment w:val="auto"/>
    </w:pPr>
    <w:rPr>
      <w:sz w:val="24"/>
      <w:szCs w:val="24"/>
      <w:lang w:val="ru-RU"/>
    </w:rPr>
  </w:style>
  <w:style w:type="character" w:customStyle="1" w:styleId="a5">
    <w:name w:val="Обычный (веб) Знак"/>
    <w:aliases w:val="Обычный (Web)1 Знак,Знак4 Знак,Обычный (веб) Знак1 Знак,Обычный (веб) Знак Знак1 Знак,Знак Знак1 Знак Знак,Обычный (веб) Знак Знак Знак Знак1,Обычный (веб) Знак Знак Знак Знак Знак,Знак Знак Знак Знак Знак Знак Знак Знак"/>
    <w:link w:val="a4"/>
    <w:uiPriority w:val="99"/>
    <w:rsid w:val="00D76EC6"/>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76EC6"/>
    <w:pPr>
      <w:tabs>
        <w:tab w:val="center" w:pos="4677"/>
        <w:tab w:val="right" w:pos="9355"/>
      </w:tabs>
    </w:pPr>
  </w:style>
  <w:style w:type="character" w:customStyle="1" w:styleId="a7">
    <w:name w:val="Верхний колонтитул Знак"/>
    <w:basedOn w:val="a0"/>
    <w:link w:val="a6"/>
    <w:uiPriority w:val="99"/>
    <w:rsid w:val="00D76EC6"/>
    <w:rPr>
      <w:rFonts w:ascii="Times New Roman" w:eastAsia="Times New Roman" w:hAnsi="Times New Roman" w:cs="Times New Roman"/>
      <w:sz w:val="20"/>
      <w:szCs w:val="20"/>
      <w:lang w:val="en-US" w:eastAsia="ru-RU"/>
    </w:rPr>
  </w:style>
  <w:style w:type="paragraph" w:styleId="a8">
    <w:name w:val="footer"/>
    <w:basedOn w:val="a"/>
    <w:link w:val="a9"/>
    <w:uiPriority w:val="99"/>
    <w:unhideWhenUsed/>
    <w:rsid w:val="00D76EC6"/>
    <w:pPr>
      <w:tabs>
        <w:tab w:val="center" w:pos="4677"/>
        <w:tab w:val="right" w:pos="9355"/>
      </w:tabs>
    </w:pPr>
  </w:style>
  <w:style w:type="character" w:customStyle="1" w:styleId="a9">
    <w:name w:val="Нижний колонтитул Знак"/>
    <w:basedOn w:val="a0"/>
    <w:link w:val="a8"/>
    <w:uiPriority w:val="99"/>
    <w:rsid w:val="00D76EC6"/>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2024-12-06T06:06:00Z</dcterms:created>
  <dcterms:modified xsi:type="dcterms:W3CDTF">2024-12-06T06:08:00Z</dcterms:modified>
</cp:coreProperties>
</file>