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EF" w:rsidRDefault="0018345B" w:rsidP="0018345B">
      <w:pPr>
        <w:jc w:val="center"/>
        <w:rPr>
          <w:rFonts w:cs="Times New Roman"/>
          <w:sz w:val="28"/>
          <w:szCs w:val="24"/>
        </w:rPr>
      </w:pPr>
      <w:r w:rsidRPr="0018345B">
        <w:rPr>
          <w:rFonts w:cs="Times New Roman"/>
          <w:sz w:val="28"/>
          <w:szCs w:val="24"/>
        </w:rPr>
        <w:t>Мд_Разработка и реализация конкурентной стратегии</w:t>
      </w:r>
    </w:p>
    <w:p w:rsidR="0018345B" w:rsidRDefault="0018345B" w:rsidP="0018345B">
      <w:pPr>
        <w:jc w:val="center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Стр_50</w:t>
      </w:r>
    </w:p>
    <w:p w:rsidR="0018345B" w:rsidRDefault="0018345B" w:rsidP="0018345B">
      <w:pPr>
        <w:spacing w:before="96" w:after="20"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8345B" w:rsidRPr="0018345B" w:rsidRDefault="0018345B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r w:rsidRPr="0018345B">
        <w:rPr>
          <w:rFonts w:cs="Times New Roman"/>
          <w:sz w:val="28"/>
          <w:szCs w:val="28"/>
        </w:rPr>
        <w:fldChar w:fldCharType="begin"/>
      </w:r>
      <w:r w:rsidRPr="0018345B">
        <w:rPr>
          <w:rFonts w:cs="Times New Roman"/>
          <w:sz w:val="28"/>
          <w:szCs w:val="28"/>
        </w:rPr>
        <w:instrText xml:space="preserve"> TOC \o "1-3" \h \z \u </w:instrText>
      </w:r>
      <w:r w:rsidRPr="0018345B">
        <w:rPr>
          <w:rFonts w:cs="Times New Roman"/>
          <w:sz w:val="28"/>
          <w:szCs w:val="28"/>
        </w:rPr>
        <w:fldChar w:fldCharType="separate"/>
      </w:r>
      <w:hyperlink w:anchor="_Toc175677873" w:tooltip="#_Toc175677873" w:history="1">
        <w:r w:rsidRPr="0018345B">
          <w:rPr>
            <w:rStyle w:val="a3"/>
            <w:rFonts w:eastAsia="Times New Roman" w:cs="Times New Roman"/>
            <w:bCs/>
            <w:sz w:val="28"/>
            <w:szCs w:val="28"/>
          </w:rPr>
          <w:t>ВВЕДЕНИЕ</w:t>
        </w:r>
      </w:hyperlink>
    </w:p>
    <w:p w:rsidR="0018345B" w:rsidRPr="0018345B" w:rsidRDefault="0018345B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Style w:val="a3"/>
          <w:rFonts w:cs="Times New Roman"/>
          <w:sz w:val="28"/>
          <w:szCs w:val="28"/>
        </w:rPr>
      </w:pPr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74" w:tooltip="#_Toc175677874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 xml:space="preserve">1 ОЦЕНКА ДЕЙСТВУЮЩЕЙ КОНКУРЕНТНОЙ СТРАТЕГИИ </w:t>
        </w:r>
      </w:hyperlink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75" w:tooltip="#_Toc175677875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 xml:space="preserve">1.1 Характеристика деятельности </w:t>
        </w:r>
      </w:hyperlink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76" w:tooltip="#_Toc175677876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>1.2 Анализ результатов реализации конкурентной стратегии компании</w:t>
        </w:r>
      </w:hyperlink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77" w:tooltip="#_Toc175677877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>1.3 Анализ ресурсного потенциала компании</w:t>
        </w:r>
      </w:hyperlink>
    </w:p>
    <w:p w:rsidR="0018345B" w:rsidRPr="0018345B" w:rsidRDefault="0018345B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Style w:val="a3"/>
          <w:rFonts w:cs="Times New Roman"/>
          <w:sz w:val="28"/>
          <w:szCs w:val="28"/>
        </w:rPr>
      </w:pPr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78" w:tooltip="#_Toc175677878" w:history="1">
        <w:r w:rsidR="0018345B">
          <w:rPr>
            <w:rStyle w:val="a3"/>
            <w:rFonts w:eastAsia="Times New Roman" w:cs="Times New Roman"/>
            <w:bCs/>
            <w:sz w:val="28"/>
            <w:szCs w:val="28"/>
          </w:rPr>
          <w:t xml:space="preserve">2 КОНКУРЕНТНАЯ СТРАТЕГИЯ </w:t>
        </w:r>
      </w:hyperlink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79" w:tooltip="#_Toc175677879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>2.1. Составляющие стратегии компании на среднесрочный период (три года) и мероприятия по реализации новой конкурентной стратегии компании</w:t>
        </w:r>
      </w:hyperlink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80" w:tooltip="#_Toc175677880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>2.2. Ожидаемый социальный экономический эффект от реализации конкурентной стратегии компании, изменения корпоративной культуры</w:t>
        </w:r>
      </w:hyperlink>
    </w:p>
    <w:p w:rsidR="0018345B" w:rsidRPr="0018345B" w:rsidRDefault="0018345B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Style w:val="a3"/>
          <w:rFonts w:cs="Times New Roman"/>
          <w:sz w:val="28"/>
          <w:szCs w:val="28"/>
        </w:rPr>
      </w:pPr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81" w:tooltip="#_Toc175677881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>ЗАКЛЮЧЕНИЕ</w:t>
        </w:r>
      </w:hyperlink>
    </w:p>
    <w:p w:rsidR="0018345B" w:rsidRPr="0018345B" w:rsidRDefault="0018345B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Style w:val="a3"/>
          <w:rFonts w:cs="Times New Roman"/>
          <w:sz w:val="28"/>
          <w:szCs w:val="28"/>
        </w:rPr>
      </w:pPr>
    </w:p>
    <w:p w:rsidR="0018345B" w:rsidRPr="0018345B" w:rsidRDefault="00F922B0" w:rsidP="0018345B">
      <w:pPr>
        <w:pStyle w:val="2"/>
        <w:tabs>
          <w:tab w:val="right" w:leader="dot" w:pos="9344"/>
        </w:tabs>
        <w:spacing w:after="0" w:line="276" w:lineRule="auto"/>
        <w:ind w:left="0"/>
        <w:rPr>
          <w:rFonts w:eastAsiaTheme="minorEastAsia" w:cs="Times New Roman"/>
          <w:sz w:val="28"/>
          <w:szCs w:val="28"/>
          <w:lang w:eastAsia="ru-RU"/>
        </w:rPr>
      </w:pPr>
      <w:hyperlink w:anchor="_Toc175677882" w:tooltip="#_Toc175677882" w:history="1">
        <w:r w:rsidR="0018345B" w:rsidRPr="0018345B">
          <w:rPr>
            <w:rStyle w:val="a3"/>
            <w:rFonts w:eastAsia="Times New Roman" w:cs="Times New Roman"/>
            <w:bCs/>
            <w:sz w:val="28"/>
            <w:szCs w:val="28"/>
          </w:rPr>
          <w:t>СПИСОК ИСПОЛЬЗОВАННЫХ ИСТОЧНИКОВ</w:t>
        </w:r>
      </w:hyperlink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  <w:r w:rsidRPr="0018345B">
        <w:rPr>
          <w:rFonts w:cs="Times New Roman"/>
          <w:sz w:val="28"/>
          <w:szCs w:val="28"/>
        </w:rPr>
        <w:fldChar w:fldCharType="end"/>
      </w: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18345B" w:rsidRPr="00F922B0" w:rsidRDefault="0018345B" w:rsidP="0018345B">
      <w:pPr>
        <w:keepNext/>
        <w:keepLines/>
        <w:spacing w:before="96" w:after="20" w:line="276" w:lineRule="auto"/>
        <w:ind w:firstLine="709"/>
        <w:contextualSpacing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bookmarkStart w:id="0" w:name="undefined"/>
      <w:r w:rsidRPr="00F922B0">
        <w:rPr>
          <w:rFonts w:eastAsia="Times New Roman" w:cs="Times New Roman"/>
          <w:b/>
          <w:bCs/>
          <w:sz w:val="28"/>
          <w:szCs w:val="28"/>
        </w:rPr>
        <w:lastRenderedPageBreak/>
        <w:t>ЗАКЛЮЧЕНИЕ</w:t>
      </w:r>
      <w:bookmarkEnd w:id="0"/>
    </w:p>
    <w:p w:rsidR="0018345B" w:rsidRPr="00F922B0" w:rsidRDefault="0018345B" w:rsidP="0018345B">
      <w:pPr>
        <w:spacing w:before="96" w:after="2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</w:p>
    <w:p w:rsidR="0018345B" w:rsidRPr="00F922B0" w:rsidRDefault="0018345B" w:rsidP="0018345B">
      <w:pPr>
        <w:spacing w:before="96" w:after="2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F922B0">
        <w:rPr>
          <w:rFonts w:eastAsia="Times New Roman" w:cs="Times New Roman"/>
          <w:sz w:val="28"/>
          <w:szCs w:val="28"/>
        </w:rPr>
        <w:t>Компания активно развивает свою деятельность, постоянно внедряя передовые технологии и расширяя спектр услуг. Сеть лабораторий охватывает крупные города Казахстана, что позволяет оперативно обслуживать клиентов по всей стране. Компания стремится к дальнейшему расширению своего присутствия, включая выход на международные рынки, такие как Россия и Узбекистан, что подтверждает амбициозные планы компании по укреплению своих позиций в регионе и на международной арене.</w:t>
      </w:r>
    </w:p>
    <w:p w:rsidR="0018345B" w:rsidRPr="00F922B0" w:rsidRDefault="0018345B" w:rsidP="0018345B">
      <w:pPr>
        <w:spacing w:before="96" w:line="276" w:lineRule="auto"/>
        <w:contextualSpacing/>
        <w:jc w:val="both"/>
        <w:rPr>
          <w:rFonts w:cs="Times New Roman"/>
          <w:sz w:val="28"/>
          <w:szCs w:val="28"/>
        </w:rPr>
      </w:pPr>
    </w:p>
    <w:p w:rsidR="00F922B0" w:rsidRDefault="0018345B" w:rsidP="0018345B">
      <w:pPr>
        <w:spacing w:before="96" w:after="20" w:line="276" w:lineRule="auto"/>
        <w:contextualSpacing/>
        <w:rPr>
          <w:rFonts w:cs="Times New Roman"/>
          <w:sz w:val="28"/>
          <w:szCs w:val="28"/>
        </w:rPr>
      </w:pPr>
      <w:r w:rsidRPr="00F922B0">
        <w:rPr>
          <w:rFonts w:cs="Times New Roman"/>
          <w:sz w:val="28"/>
          <w:szCs w:val="28"/>
        </w:rPr>
        <w:br w:type="page" w:clear="all"/>
      </w:r>
    </w:p>
    <w:p w:rsidR="00F922B0" w:rsidRDefault="00F922B0" w:rsidP="00F922B0">
      <w:pPr>
        <w:keepNext/>
        <w:keepLines/>
        <w:spacing w:before="96" w:after="20" w:line="276" w:lineRule="auto"/>
        <w:ind w:firstLine="709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_Toc175677882"/>
      <w:r>
        <w:rPr>
          <w:rFonts w:ascii="Arial" w:eastAsia="Times New Roman" w:hAnsi="Arial" w:cs="Arial"/>
          <w:b/>
          <w:bCs/>
          <w:sz w:val="24"/>
          <w:szCs w:val="24"/>
        </w:rPr>
        <w:t>СПИСОК ИСПОЛЬЗОВАНН</w:t>
      </w:r>
      <w:bookmarkEnd w:id="1"/>
      <w:r>
        <w:rPr>
          <w:rFonts w:ascii="Arial" w:eastAsia="Times New Roman" w:hAnsi="Arial" w:cs="Arial"/>
          <w:b/>
          <w:bCs/>
          <w:sz w:val="24"/>
          <w:szCs w:val="24"/>
        </w:rPr>
        <w:t>ЫХ ИСТОЧНИКОВ</w:t>
      </w:r>
    </w:p>
    <w:p w:rsidR="00F922B0" w:rsidRDefault="00F922B0" w:rsidP="00F922B0">
      <w:pPr>
        <w:tabs>
          <w:tab w:val="left" w:pos="1418"/>
        </w:tabs>
        <w:spacing w:before="96" w:after="20" w:line="276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922B0" w:rsidRPr="00F922B0" w:rsidRDefault="00F922B0" w:rsidP="00F922B0">
      <w:pPr>
        <w:numPr>
          <w:ilvl w:val="0"/>
          <w:numId w:val="1"/>
        </w:numPr>
        <w:tabs>
          <w:tab w:val="left" w:pos="1276"/>
        </w:tabs>
        <w:spacing w:before="96" w:after="2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F922B0">
        <w:rPr>
          <w:rFonts w:eastAsia="Calibri" w:cs="Times New Roman"/>
          <w:sz w:val="28"/>
          <w:szCs w:val="28"/>
          <w:lang w:eastAsia="ru-RU"/>
        </w:rPr>
        <w:t xml:space="preserve">Постановление Правительства Республики Казахстан от 18 апреля 2014 года № 380 «Об утверждении Концепции государственного регулирования предпринимательской деятельности до 2020 года» (с изменениями и дополнениями от 07.11.2016 г.) [Электронный ресурс]. - </w:t>
      </w:r>
      <w:r w:rsidRPr="00F922B0">
        <w:rPr>
          <w:rFonts w:eastAsia="Calibri" w:cs="Times New Roman"/>
          <w:sz w:val="28"/>
          <w:szCs w:val="28"/>
          <w:lang w:val="en-US" w:eastAsia="ru-RU"/>
        </w:rPr>
        <w:t>URL</w:t>
      </w:r>
      <w:r w:rsidRPr="00F922B0">
        <w:rPr>
          <w:rFonts w:eastAsia="Calibri" w:cs="Times New Roman"/>
          <w:sz w:val="28"/>
          <w:szCs w:val="28"/>
          <w:lang w:eastAsia="ru-RU"/>
        </w:rPr>
        <w:t>: https://online.zakon.kz/Document/?doc_id=31544219</w:t>
      </w:r>
    </w:p>
    <w:p w:rsidR="00F922B0" w:rsidRPr="00F922B0" w:rsidRDefault="00F922B0" w:rsidP="00F922B0">
      <w:pPr>
        <w:numPr>
          <w:ilvl w:val="0"/>
          <w:numId w:val="1"/>
        </w:numPr>
        <w:tabs>
          <w:tab w:val="left" w:pos="1276"/>
        </w:tabs>
        <w:spacing w:before="96" w:after="2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F922B0">
        <w:rPr>
          <w:rFonts w:eastAsia="Calibri" w:cs="Times New Roman"/>
          <w:sz w:val="28"/>
          <w:szCs w:val="28"/>
          <w:lang w:eastAsia="ru-RU"/>
        </w:rPr>
        <w:t>Облегчение условий ведения бизнеса: как улучшение позиций РК в рейтинге «</w:t>
      </w:r>
      <w:proofErr w:type="spellStart"/>
      <w:r w:rsidRPr="00F922B0">
        <w:rPr>
          <w:rFonts w:eastAsia="Calibri" w:cs="Times New Roman"/>
          <w:sz w:val="28"/>
          <w:szCs w:val="28"/>
          <w:lang w:eastAsia="ru-RU"/>
        </w:rPr>
        <w:t>Doing</w:t>
      </w:r>
      <w:proofErr w:type="spellEnd"/>
      <w:r w:rsidRPr="00F922B0">
        <w:rPr>
          <w:rFonts w:eastAsia="Calibri" w:cs="Times New Roman"/>
          <w:sz w:val="28"/>
          <w:szCs w:val="28"/>
          <w:lang w:eastAsia="ru-RU"/>
        </w:rPr>
        <w:t xml:space="preserve"> </w:t>
      </w:r>
      <w:proofErr w:type="spellStart"/>
      <w:r w:rsidRPr="00F922B0">
        <w:rPr>
          <w:rFonts w:eastAsia="Calibri" w:cs="Times New Roman"/>
          <w:sz w:val="28"/>
          <w:szCs w:val="28"/>
          <w:lang w:eastAsia="ru-RU"/>
        </w:rPr>
        <w:t>Business</w:t>
      </w:r>
      <w:proofErr w:type="spellEnd"/>
      <w:r w:rsidRPr="00F922B0">
        <w:rPr>
          <w:rFonts w:eastAsia="Calibri" w:cs="Times New Roman"/>
          <w:sz w:val="28"/>
          <w:szCs w:val="28"/>
          <w:lang w:eastAsia="ru-RU"/>
        </w:rPr>
        <w:t>» влияет на развитие МСБ [Электронный ресурс]. – Режим доступа: https://primeminister.kz/ru/news/oblegchenie-usloviy-vedeniya-biznesa-kak-uluchshenie-poziciy-rk-v-reytinge-doing-business-vliyaet-na-razvitie-msb</w:t>
      </w:r>
    </w:p>
    <w:p w:rsidR="00F922B0" w:rsidRPr="00F922B0" w:rsidRDefault="00F922B0" w:rsidP="00F922B0">
      <w:pPr>
        <w:numPr>
          <w:ilvl w:val="0"/>
          <w:numId w:val="1"/>
        </w:numPr>
        <w:tabs>
          <w:tab w:val="left" w:pos="1276"/>
        </w:tabs>
        <w:spacing w:before="96" w:after="2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proofErr w:type="spellStart"/>
      <w:r w:rsidRPr="00F922B0">
        <w:rPr>
          <w:rFonts w:eastAsia="Calibri" w:cs="Times New Roman"/>
          <w:sz w:val="28"/>
          <w:szCs w:val="28"/>
          <w:lang w:eastAsia="ru-RU"/>
        </w:rPr>
        <w:t>Локтионова</w:t>
      </w:r>
      <w:proofErr w:type="spellEnd"/>
      <w:r w:rsidRPr="00F922B0">
        <w:rPr>
          <w:rFonts w:eastAsia="Calibri" w:cs="Times New Roman"/>
          <w:sz w:val="28"/>
          <w:szCs w:val="28"/>
          <w:lang w:eastAsia="ru-RU"/>
        </w:rPr>
        <w:t xml:space="preserve"> Ю.Н., Куренков В.И. PEST - анализ, как главный инструмент анализа факторов внешней среды организации // Тенденции развития науки и образования. 2018. № 38-3. –  С. 43-45.</w:t>
      </w:r>
    </w:p>
    <w:p w:rsidR="00F922B0" w:rsidRPr="00F922B0" w:rsidRDefault="00F922B0" w:rsidP="00F922B0">
      <w:pPr>
        <w:numPr>
          <w:ilvl w:val="0"/>
          <w:numId w:val="1"/>
        </w:numPr>
        <w:tabs>
          <w:tab w:val="left" w:pos="1276"/>
        </w:tabs>
        <w:spacing w:before="96" w:after="2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proofErr w:type="spellStart"/>
      <w:r w:rsidRPr="00F922B0">
        <w:rPr>
          <w:rFonts w:eastAsia="Calibri" w:cs="Times New Roman"/>
          <w:sz w:val="28"/>
          <w:szCs w:val="28"/>
          <w:lang w:eastAsia="ru-RU"/>
        </w:rPr>
        <w:t>Кугубаева</w:t>
      </w:r>
      <w:proofErr w:type="spellEnd"/>
      <w:r w:rsidRPr="00F922B0">
        <w:rPr>
          <w:rFonts w:eastAsia="Calibri" w:cs="Times New Roman"/>
          <w:sz w:val="28"/>
          <w:szCs w:val="28"/>
          <w:lang w:eastAsia="ru-RU"/>
        </w:rPr>
        <w:t xml:space="preserve"> И.Э. PEST-анализ окружающей среды и SWOT - анализ компании // Молодежь и наука. 2016. № 7. – С. 91.</w:t>
      </w:r>
    </w:p>
    <w:p w:rsidR="00F922B0" w:rsidRPr="00F922B0" w:rsidRDefault="00F922B0" w:rsidP="00F922B0">
      <w:pPr>
        <w:spacing w:before="96" w:after="20" w:line="276" w:lineRule="auto"/>
        <w:contextualSpacing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5.</w:t>
      </w:r>
      <w:bookmarkStart w:id="2" w:name="_GoBack"/>
      <w:bookmarkEnd w:id="2"/>
      <w:r w:rsidRPr="00F922B0">
        <w:rPr>
          <w:rFonts w:eastAsia="Calibri" w:cs="Times New Roman"/>
          <w:sz w:val="28"/>
          <w:szCs w:val="28"/>
          <w:lang w:eastAsia="ru-RU"/>
        </w:rPr>
        <w:t>Агафонов В.А. Стратегический менеджмент. Модели и процедуры: Монография / В.А. Агафонов. - М.: Инфра-М, 2019. - 350 c</w:t>
      </w:r>
    </w:p>
    <w:p w:rsidR="00F922B0" w:rsidRPr="00F922B0" w:rsidRDefault="00F922B0" w:rsidP="00F922B0">
      <w:pPr>
        <w:spacing w:before="96" w:after="20" w:line="276" w:lineRule="auto"/>
        <w:contextualSpacing/>
        <w:rPr>
          <w:rFonts w:cs="Times New Roman"/>
          <w:sz w:val="28"/>
          <w:szCs w:val="28"/>
        </w:rPr>
      </w:pPr>
    </w:p>
    <w:p w:rsidR="0018345B" w:rsidRPr="0018345B" w:rsidRDefault="0018345B" w:rsidP="0018345B">
      <w:pPr>
        <w:rPr>
          <w:rFonts w:cs="Times New Roman"/>
          <w:sz w:val="24"/>
        </w:rPr>
      </w:pPr>
    </w:p>
    <w:sectPr w:rsidR="0018345B" w:rsidRPr="0018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387"/>
    <w:multiLevelType w:val="hybridMultilevel"/>
    <w:tmpl w:val="9F66916C"/>
    <w:lvl w:ilvl="0" w:tplc="70C6CEA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 w:tplc="69729B9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7004DA1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FD6E2A9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1A0ED26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D3BA138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FC1AF7D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3900353A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6914A01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6738132D"/>
    <w:multiLevelType w:val="hybridMultilevel"/>
    <w:tmpl w:val="9F66916C"/>
    <w:lvl w:ilvl="0" w:tplc="70C6CEA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 w:tplc="69729B9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7004DA1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FD6E2A9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1A0ED26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D3BA138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FC1AF7D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3900353A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6914A01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C2"/>
    <w:rsid w:val="00180CC2"/>
    <w:rsid w:val="0018345B"/>
    <w:rsid w:val="003E43EF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A845"/>
  <w15:chartTrackingRefBased/>
  <w15:docId w15:val="{F182E818-0277-4CDF-A738-0BE49D27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5B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345B"/>
    <w:rPr>
      <w:color w:val="0563C1" w:themeColor="hyperlink"/>
      <w:u w:val="single"/>
    </w:rPr>
  </w:style>
  <w:style w:type="paragraph" w:styleId="2">
    <w:name w:val="toc 2"/>
    <w:basedOn w:val="a"/>
    <w:next w:val="a"/>
    <w:uiPriority w:val="39"/>
    <w:unhideWhenUsed/>
    <w:rsid w:val="0018345B"/>
    <w:pPr>
      <w:spacing w:after="57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2026-01-08T09:45:00Z</dcterms:created>
  <dcterms:modified xsi:type="dcterms:W3CDTF">2026-01-08T14:04:00Z</dcterms:modified>
</cp:coreProperties>
</file>