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5F" w:rsidRPr="000135D8" w:rsidRDefault="000135D8" w:rsidP="000135D8">
      <w:pPr>
        <w:jc w:val="center"/>
        <w:rPr>
          <w:rFonts w:ascii="Times New Roman" w:hAnsi="Times New Roman" w:cs="Times New Roman"/>
          <w:sz w:val="28"/>
        </w:rPr>
      </w:pPr>
      <w:r w:rsidRPr="000135D8">
        <w:rPr>
          <w:rFonts w:ascii="Times New Roman" w:hAnsi="Times New Roman" w:cs="Times New Roman"/>
          <w:sz w:val="28"/>
        </w:rPr>
        <w:t xml:space="preserve">Отчет по практике </w:t>
      </w:r>
      <w:r w:rsidRPr="000135D8">
        <w:rPr>
          <w:rFonts w:ascii="Times New Roman" w:hAnsi="Times New Roman" w:cs="Times New Roman"/>
          <w:spacing w:val="-4"/>
          <w:sz w:val="36"/>
          <w:szCs w:val="28"/>
        </w:rPr>
        <w:t>ТОО «</w:t>
      </w:r>
      <w:proofErr w:type="spellStart"/>
      <w:r w:rsidRPr="000135D8">
        <w:rPr>
          <w:rFonts w:ascii="Times New Roman" w:hAnsi="Times New Roman" w:cs="Times New Roman"/>
          <w:spacing w:val="-4"/>
          <w:sz w:val="36"/>
          <w:szCs w:val="28"/>
        </w:rPr>
        <w:t>Jet</w:t>
      </w:r>
      <w:proofErr w:type="spellEnd"/>
      <w:r w:rsidRPr="000135D8">
        <w:rPr>
          <w:rFonts w:ascii="Times New Roman" w:hAnsi="Times New Roman" w:cs="Times New Roman"/>
          <w:spacing w:val="-4"/>
          <w:sz w:val="36"/>
          <w:szCs w:val="28"/>
        </w:rPr>
        <w:t xml:space="preserve"> </w:t>
      </w:r>
      <w:proofErr w:type="spellStart"/>
      <w:r w:rsidRPr="000135D8">
        <w:rPr>
          <w:rFonts w:ascii="Times New Roman" w:hAnsi="Times New Roman" w:cs="Times New Roman"/>
          <w:spacing w:val="-4"/>
          <w:sz w:val="36"/>
          <w:szCs w:val="28"/>
        </w:rPr>
        <w:t>Logistic</w:t>
      </w:r>
      <w:proofErr w:type="spellEnd"/>
      <w:r w:rsidRPr="000135D8">
        <w:rPr>
          <w:rFonts w:ascii="Times New Roman" w:hAnsi="Times New Roman" w:cs="Times New Roman"/>
          <w:spacing w:val="-4"/>
          <w:sz w:val="36"/>
          <w:szCs w:val="28"/>
        </w:rPr>
        <w:t>»</w:t>
      </w:r>
    </w:p>
    <w:p w:rsidR="000135D8" w:rsidRPr="000135D8" w:rsidRDefault="000135D8" w:rsidP="000135D8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0135D8">
        <w:rPr>
          <w:rFonts w:ascii="Times New Roman" w:hAnsi="Times New Roman" w:cs="Times New Roman"/>
          <w:sz w:val="28"/>
        </w:rPr>
        <w:t>Стр</w:t>
      </w:r>
      <w:proofErr w:type="spellEnd"/>
      <w:r w:rsidRPr="000135D8">
        <w:rPr>
          <w:rFonts w:ascii="Times New Roman" w:hAnsi="Times New Roman" w:cs="Times New Roman"/>
          <w:sz w:val="28"/>
        </w:rPr>
        <w:t xml:space="preserve"> 44</w:t>
      </w:r>
    </w:p>
    <w:p w:rsidR="000135D8" w:rsidRDefault="000135D8" w:rsidP="000135D8">
      <w:pPr>
        <w:jc w:val="center"/>
        <w:rPr>
          <w:rFonts w:ascii="Times New Roman" w:hAnsi="Times New Roman" w:cs="Times New Roman"/>
          <w:sz w:val="28"/>
        </w:rPr>
      </w:pPr>
      <w:r w:rsidRPr="000135D8">
        <w:rPr>
          <w:rFonts w:ascii="Times New Roman" w:hAnsi="Times New Roman" w:cs="Times New Roman"/>
          <w:sz w:val="28"/>
        </w:rPr>
        <w:t>Учет и аудит</w:t>
      </w:r>
    </w:p>
    <w:p w:rsidR="000135D8" w:rsidRPr="000135D8" w:rsidRDefault="000135D8" w:rsidP="000135D8">
      <w:pPr>
        <w:jc w:val="center"/>
        <w:rPr>
          <w:rFonts w:ascii="Times New Roman" w:hAnsi="Times New Roman" w:cs="Times New Roman"/>
          <w:sz w:val="28"/>
        </w:rPr>
      </w:pPr>
    </w:p>
    <w:p w:rsidR="000135D8" w:rsidRP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73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1 Ознакомление с организацией работы на предприятии</w:t>
        </w:r>
      </w:hyperlink>
    </w:p>
    <w:p w:rsidR="000135D8" w:rsidRP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74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2. Ознакомление с работой учетно-аналитических служб организации</w:t>
        </w:r>
      </w:hyperlink>
    </w:p>
    <w:p w:rsidR="000135D8" w:rsidRP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75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3 Анализ финансовой деятельности организации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76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  <w:lang w:val="kk-KZ"/>
          </w:rPr>
          <w:t>3</w:t>
        </w:r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.1 Анализ организации экономического анализа на предприятии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77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3.2 Анализ ликвидности и платежеспособности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78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3.3 Анализ источников формирования капитала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79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3.4 Анализ материально-технической базы организации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0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3.5 Анализ финансовой отчетности организации</w:t>
        </w:r>
      </w:hyperlink>
    </w:p>
    <w:p w:rsidR="000135D8" w:rsidRP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81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 Организация аудита на предприятии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2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4.1 Организация и порядок проведения аудиторской проверки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3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4.2 Методика аудиторской проверки. Аудиторское заключение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4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4.3 Аудит денежных средств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5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4.4 Аудит долгосрочных активов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6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4.5 Аудит расчетов с персоналом по оплате труда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7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4.6 Аудит капитала и обязательств</w:t>
        </w:r>
      </w:hyperlink>
    </w:p>
    <w:p w:rsidR="000135D8" w:rsidRPr="000135D8" w:rsidRDefault="000135D8" w:rsidP="000135D8">
      <w:pPr>
        <w:pStyle w:val="2"/>
        <w:tabs>
          <w:tab w:val="right" w:leader="dot" w:pos="9628"/>
        </w:tabs>
        <w:spacing w:after="0"/>
        <w:ind w:left="0" w:right="567"/>
        <w:rPr>
          <w:noProof/>
          <w:sz w:val="28"/>
          <w:szCs w:val="28"/>
        </w:rPr>
      </w:pPr>
      <w:hyperlink w:anchor="_Toc130062388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4.7 Внутренний аудит</w:t>
        </w:r>
      </w:hyperlink>
    </w:p>
    <w:p w:rsidR="000135D8" w:rsidRP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89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0135D8" w:rsidRP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90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0135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  <w:hyperlink w:anchor="_Toc130062391" w:history="1">
        <w:r w:rsidRPr="000135D8">
          <w:rPr>
            <w:rStyle w:val="a3"/>
            <w:rFonts w:eastAsiaTheme="majorEastAsia"/>
            <w:noProof/>
            <w:color w:val="auto"/>
            <w:sz w:val="28"/>
            <w:szCs w:val="28"/>
            <w:u w:val="none"/>
          </w:rPr>
          <w:t>Приложения</w:t>
        </w:r>
      </w:hyperlink>
    </w:p>
    <w:p w:rsidR="000135D8" w:rsidRPr="000135D8" w:rsidRDefault="000135D8" w:rsidP="000135D8">
      <w:pPr>
        <w:rPr>
          <w:lang w:eastAsia="ru-RU"/>
        </w:rPr>
      </w:pPr>
    </w:p>
    <w:p w:rsidR="000135D8" w:rsidRPr="002B2FD8" w:rsidRDefault="000135D8" w:rsidP="000135D8">
      <w:pPr>
        <w:pStyle w:val="11"/>
        <w:tabs>
          <w:tab w:val="right" w:leader="dot" w:pos="9628"/>
        </w:tabs>
        <w:spacing w:after="0"/>
        <w:ind w:right="567"/>
        <w:rPr>
          <w:noProof/>
          <w:sz w:val="28"/>
          <w:szCs w:val="28"/>
        </w:rPr>
      </w:pPr>
    </w:p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 w:rsidP="000135D8">
      <w:pPr>
        <w:pStyle w:val="1"/>
      </w:pPr>
      <w:bookmarkStart w:id="0" w:name="_Toc130062389"/>
      <w:r>
        <w:lastRenderedPageBreak/>
        <w:t>Заключение</w:t>
      </w:r>
      <w:bookmarkEnd w:id="0"/>
    </w:p>
    <w:p w:rsidR="000135D8" w:rsidRPr="000E5CC8" w:rsidRDefault="000135D8" w:rsidP="000135D8">
      <w:pPr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0135D8" w:rsidRPr="000135D8" w:rsidRDefault="000135D8" w:rsidP="000135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135D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Основными выводами по результатам исследования являются следующие:</w:t>
      </w:r>
    </w:p>
    <w:p w:rsidR="000135D8" w:rsidRPr="000135D8" w:rsidRDefault="000135D8" w:rsidP="000135D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135D8">
        <w:rPr>
          <w:rFonts w:ascii="Times New Roman" w:hAnsi="Times New Roman" w:cs="Times New Roman"/>
          <w:spacing w:val="-4"/>
          <w:sz w:val="28"/>
          <w:szCs w:val="28"/>
        </w:rPr>
        <w:t>ТОО «</w:t>
      </w:r>
      <w:proofErr w:type="spellStart"/>
      <w:r w:rsidRPr="000135D8">
        <w:rPr>
          <w:rFonts w:ascii="Times New Roman" w:hAnsi="Times New Roman" w:cs="Times New Roman"/>
          <w:spacing w:val="-4"/>
          <w:sz w:val="28"/>
          <w:szCs w:val="28"/>
        </w:rPr>
        <w:t>Jet</w:t>
      </w:r>
      <w:proofErr w:type="spellEnd"/>
      <w:r w:rsidRPr="000135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135D8">
        <w:rPr>
          <w:rFonts w:ascii="Times New Roman" w:hAnsi="Times New Roman" w:cs="Times New Roman"/>
          <w:spacing w:val="-4"/>
          <w:sz w:val="28"/>
          <w:szCs w:val="28"/>
        </w:rPr>
        <w:t>Logistic</w:t>
      </w:r>
      <w:proofErr w:type="spellEnd"/>
      <w:r w:rsidRPr="000135D8">
        <w:rPr>
          <w:rFonts w:ascii="Times New Roman" w:hAnsi="Times New Roman" w:cs="Times New Roman"/>
          <w:spacing w:val="-4"/>
          <w:sz w:val="28"/>
          <w:szCs w:val="28"/>
        </w:rPr>
        <w:t xml:space="preserve">» - торгово-транспортная компания, образована в 2007 году в г. Астана. Юридический адрес организации: Казахстан, г. Астана, район "Алматы", Проспект </w:t>
      </w:r>
      <w:proofErr w:type="spellStart"/>
      <w:r w:rsidRPr="000135D8">
        <w:rPr>
          <w:rFonts w:ascii="Times New Roman" w:hAnsi="Times New Roman" w:cs="Times New Roman"/>
          <w:spacing w:val="-4"/>
          <w:sz w:val="28"/>
          <w:szCs w:val="28"/>
        </w:rPr>
        <w:t>Тәуелсіздік</w:t>
      </w:r>
      <w:proofErr w:type="spellEnd"/>
      <w:r w:rsidRPr="000135D8">
        <w:rPr>
          <w:rFonts w:ascii="Times New Roman" w:hAnsi="Times New Roman" w:cs="Times New Roman"/>
          <w:spacing w:val="-4"/>
          <w:sz w:val="28"/>
          <w:szCs w:val="28"/>
        </w:rPr>
        <w:t>, 24. Виды деятельности предприятия:</w:t>
      </w:r>
    </w:p>
    <w:p w:rsidR="000135D8" w:rsidRPr="000135D8" w:rsidRDefault="000135D8" w:rsidP="000135D8">
      <w:pPr>
        <w:pStyle w:val="000"/>
        <w:spacing w:line="240" w:lineRule="auto"/>
      </w:pPr>
      <w:r w:rsidRPr="000135D8">
        <w:t>- аутсорсинг внешнеэкономической деятельности; импортные и экспортные процессы; снабжение и поиск поставщиков в России; снижению себестоимости товара в размере от 7% за счет возврата Российского НДС; осуществление доставки сборных грузов из России в Казахстан и из Казахстана в Россию; легализации импортных сделок</w:t>
      </w:r>
    </w:p>
    <w:p w:rsidR="000135D8" w:rsidRPr="000135D8" w:rsidRDefault="000135D8" w:rsidP="000135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D8">
        <w:rPr>
          <w:rFonts w:ascii="Times New Roman" w:hAnsi="Times New Roman" w:cs="Times New Roman"/>
          <w:sz w:val="28"/>
          <w:szCs w:val="28"/>
        </w:rPr>
        <w:t>- ведение бухгалтерского учета на предприятии производится на основе Гражданского кодекса Республики Казахстан, Закона Республики Казахстан «О бухгалтерском учете и финансовой отчетности», Кодекса Республики Казахстан «О налогах и других обязательных платежах в бюджет», международных стандартов финансовой отчетности (МСФО), Типового плана счетов бухгалтерского учета. Учетная политика ТОО «</w:t>
      </w:r>
      <w:proofErr w:type="spellStart"/>
      <w:r w:rsidRPr="00013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Jet</w:t>
      </w:r>
      <w:proofErr w:type="spellEnd"/>
      <w:r w:rsidRPr="00013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Logistic</w:t>
      </w:r>
      <w:proofErr w:type="spellEnd"/>
      <w:r w:rsidRPr="000135D8">
        <w:rPr>
          <w:rFonts w:ascii="Times New Roman" w:hAnsi="Times New Roman" w:cs="Times New Roman"/>
          <w:sz w:val="28"/>
          <w:szCs w:val="28"/>
        </w:rPr>
        <w:t>» разработана главным бухгалтером организации и утверждена приказом об учетной политике директором. Ответственность за организацию бухгалтерского учета возлагается на руководителя</w:t>
      </w:r>
      <w:r w:rsidRPr="000E5CC8">
        <w:rPr>
          <w:sz w:val="28"/>
          <w:szCs w:val="28"/>
        </w:rPr>
        <w:t xml:space="preserve">. Бухгалтерский учет </w:t>
      </w:r>
      <w:r w:rsidRPr="000135D8">
        <w:rPr>
          <w:rFonts w:ascii="Times New Roman" w:hAnsi="Times New Roman" w:cs="Times New Roman"/>
          <w:sz w:val="28"/>
          <w:szCs w:val="28"/>
        </w:rPr>
        <w:t>осуществляется главным бухгалтером.</w:t>
      </w:r>
    </w:p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/>
    <w:p w:rsidR="000135D8" w:rsidRDefault="000135D8" w:rsidP="000135D8">
      <w:pPr>
        <w:pStyle w:val="1"/>
      </w:pPr>
      <w:bookmarkStart w:id="1" w:name="_Toc130062390"/>
      <w:r>
        <w:t>Список использованной литературы</w:t>
      </w:r>
      <w:bookmarkEnd w:id="1"/>
    </w:p>
    <w:p w:rsidR="000135D8" w:rsidRDefault="000135D8" w:rsidP="000135D8">
      <w:pPr>
        <w:ind w:firstLine="567"/>
        <w:jc w:val="both"/>
        <w:rPr>
          <w:sz w:val="28"/>
          <w:szCs w:val="28"/>
        </w:rPr>
      </w:pPr>
    </w:p>
    <w:p w:rsidR="000135D8" w:rsidRPr="002B2FD8" w:rsidRDefault="000135D8" w:rsidP="000135D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currentdocdiv"/>
          <w:rFonts w:ascii="Times New Roman" w:hAnsi="Times New Roman" w:cs="Times New Roman"/>
          <w:color w:val="000000"/>
          <w:sz w:val="28"/>
          <w:szCs w:val="28"/>
        </w:rPr>
      </w:pPr>
      <w:r w:rsidRPr="002B2FD8">
        <w:rPr>
          <w:rFonts w:ascii="Times New Roman" w:hAnsi="Times New Roman" w:cs="Times New Roman"/>
          <w:sz w:val="28"/>
          <w:szCs w:val="28"/>
        </w:rPr>
        <w:t>Закон Республики Казахстан от 22 апреля 1998 года № 220-I «О товариществах с ограниченной и дополнительной ответственностью» (с</w:t>
      </w:r>
      <w:r w:rsidRPr="002B2FD8">
        <w:rPr>
          <w:rStyle w:val="currentdocdiv"/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изменениями и дополнениями по состоянию на 24.11.2021 г.)</w:t>
      </w:r>
    </w:p>
    <w:p w:rsidR="000135D8" w:rsidRPr="002B2FD8" w:rsidRDefault="000135D8" w:rsidP="000135D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FD8">
        <w:rPr>
          <w:rFonts w:ascii="Times New Roman" w:hAnsi="Times New Roman" w:cs="Times New Roman"/>
          <w:sz w:val="28"/>
          <w:szCs w:val="28"/>
        </w:rPr>
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21.02.2023 г.)</w:t>
      </w:r>
    </w:p>
    <w:p w:rsidR="000135D8" w:rsidRPr="002B2FD8" w:rsidRDefault="000135D8" w:rsidP="000135D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FD8">
        <w:rPr>
          <w:rFonts w:ascii="Times New Roman" w:hAnsi="Times New Roman" w:cs="Times New Roman"/>
          <w:sz w:val="28"/>
          <w:szCs w:val="28"/>
          <w:lang w:eastAsia="ru-RU"/>
        </w:rPr>
        <w:t>Закон Республики Казахстан от 28 февраля 2007 года №234-III «О бухгалтерском учете и финансовой отчетности» (с изменениями и дополнениями по состоянию на 12.09.2022 г.)</w:t>
      </w:r>
    </w:p>
    <w:p w:rsidR="000135D8" w:rsidRDefault="000135D8" w:rsidP="000135D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FD8">
        <w:rPr>
          <w:rFonts w:ascii="Times New Roman" w:hAnsi="Times New Roman" w:cs="Times New Roman"/>
          <w:sz w:val="28"/>
          <w:szCs w:val="28"/>
          <w:lang w:eastAsia="ru-RU"/>
        </w:rPr>
        <w:t>Кодекс Республики Казахстан от 25 декабря 2017 года № 120-VI «О налогах и других обязательных платежах в бюджет (Налоговый кодекс)» (с изменениями и дополнениями по состоянию на 21.02.2023 г.)</w:t>
      </w:r>
    </w:p>
    <w:p w:rsidR="000135D8" w:rsidRPr="002B2FD8" w:rsidRDefault="000135D8" w:rsidP="000135D8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FD8">
        <w:rPr>
          <w:rFonts w:ascii="Times New Roman" w:hAnsi="Times New Roman" w:cs="Times New Roman"/>
          <w:spacing w:val="3"/>
          <w:sz w:val="28"/>
          <w:szCs w:val="28"/>
        </w:rPr>
        <w:t>Путеводитель бухгалтера – 2018. Практическое пособие для бухгалтера. – Алматы: ТОО «Центральный дом бухгалтера», 2018. – 200с.</w:t>
      </w:r>
    </w:p>
    <w:p w:rsidR="000135D8" w:rsidRPr="002B2FD8" w:rsidRDefault="000135D8" w:rsidP="000135D8">
      <w:pPr>
        <w:pStyle w:val="a4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135D8" w:rsidRDefault="000135D8"/>
    <w:sectPr w:rsidR="0001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4228"/>
    <w:multiLevelType w:val="hybridMultilevel"/>
    <w:tmpl w:val="9712F6A2"/>
    <w:lvl w:ilvl="0" w:tplc="9B463DB2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5D"/>
    <w:rsid w:val="000135D8"/>
    <w:rsid w:val="0077515F"/>
    <w:rsid w:val="008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F4D"/>
  <w15:chartTrackingRefBased/>
  <w15:docId w15:val="{08BE67F0-662A-4587-A466-80E01946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5D8"/>
    <w:pPr>
      <w:keepNext/>
      <w:keepLines/>
      <w:widowControl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135D8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0135D8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35D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35D8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000">
    <w:name w:val="Основной текст с отст000"/>
    <w:basedOn w:val="a"/>
    <w:qFormat/>
    <w:rsid w:val="000135D8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aliases w:val="маркированный,Абзац списка1"/>
    <w:basedOn w:val="a"/>
    <w:link w:val="a5"/>
    <w:qFormat/>
    <w:rsid w:val="000135D8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"/>
    <w:link w:val="a4"/>
    <w:locked/>
    <w:rsid w:val="000135D8"/>
  </w:style>
  <w:style w:type="character" w:customStyle="1" w:styleId="currentdocdiv">
    <w:name w:val="currentdocdiv"/>
    <w:basedOn w:val="a0"/>
    <w:rsid w:val="0001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2024-10-07T07:35:00Z</dcterms:created>
  <dcterms:modified xsi:type="dcterms:W3CDTF">2024-10-07T07:38:00Z</dcterms:modified>
</cp:coreProperties>
</file>