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A2" w:rsidRDefault="00C90168" w:rsidP="00C90168">
      <w:pPr>
        <w:jc w:val="center"/>
        <w:rPr>
          <w:rFonts w:ascii="Times New Roman" w:hAnsi="Times New Roman" w:cs="Times New Roman"/>
          <w:sz w:val="28"/>
          <w:szCs w:val="28"/>
        </w:rPr>
      </w:pPr>
      <w:r w:rsidRPr="00C90168">
        <w:rPr>
          <w:rFonts w:ascii="Times New Roman" w:hAnsi="Times New Roman" w:cs="Times New Roman"/>
          <w:sz w:val="28"/>
          <w:szCs w:val="28"/>
        </w:rPr>
        <w:t>Др_</w:t>
      </w:r>
      <w:r w:rsidRPr="00C90168">
        <w:rPr>
          <w:rFonts w:ascii="Times New Roman" w:hAnsi="Times New Roman" w:cs="Times New Roman"/>
          <w:sz w:val="28"/>
          <w:szCs w:val="28"/>
        </w:rPr>
        <w:t xml:space="preserve">Применение иностранного опыта по регулированию рынка </w:t>
      </w:r>
      <w:r w:rsidRPr="00C90168">
        <w:rPr>
          <w:rFonts w:ascii="Times New Roman" w:hAnsi="Times New Roman" w:cs="Times New Roman"/>
          <w:sz w:val="28"/>
          <w:szCs w:val="28"/>
        </w:rPr>
        <w:br/>
        <w:t>цифровых денег РФ</w:t>
      </w:r>
    </w:p>
    <w:p w:rsidR="00C90168" w:rsidRDefault="00C90168" w:rsidP="00C901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Стр_80</w:t>
      </w:r>
    </w:p>
    <w:p w:rsidR="00C90168" w:rsidRPr="00C90168" w:rsidRDefault="00C90168" w:rsidP="00C90168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8"/>
        </w:rPr>
      </w:pPr>
      <w:hyperlink w:anchor="_Toc123331213" w:history="1">
        <w:r w:rsidRPr="00C90168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C90168" w:rsidRPr="00C90168" w:rsidRDefault="00C90168" w:rsidP="00C90168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8"/>
        </w:rPr>
      </w:pPr>
      <w:hyperlink w:anchor="_Toc123331214" w:history="1">
        <w:r w:rsidRPr="00C90168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ГЛАВА 1 ТЕОРЕТИЧЕСКИЕ ОСНОВЫ РАЗВИТИЯ РЫНКА ЦИФРОВЫХ ДЕНЕГ</w:t>
        </w:r>
      </w:hyperlink>
    </w:p>
    <w:p w:rsidR="00C90168" w:rsidRPr="00C90168" w:rsidRDefault="00C90168" w:rsidP="00C90168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8"/>
        </w:rPr>
      </w:pPr>
      <w:hyperlink w:anchor="_Toc123331215" w:history="1">
        <w:r w:rsidRPr="00C90168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1.1 Экономическая сущность и классификация цифровых денег</w:t>
        </w:r>
      </w:hyperlink>
    </w:p>
    <w:p w:rsidR="00C90168" w:rsidRPr="00C90168" w:rsidRDefault="00C90168" w:rsidP="00C90168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8"/>
        </w:rPr>
      </w:pPr>
      <w:hyperlink w:anchor="_Toc123331216" w:history="1">
        <w:r w:rsidRPr="00C90168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1.2 Факторы, влияющие на рыночную стоимость цифровых денег</w:t>
        </w:r>
      </w:hyperlink>
    </w:p>
    <w:p w:rsidR="00C90168" w:rsidRPr="00C90168" w:rsidRDefault="00C90168" w:rsidP="00C90168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8"/>
        </w:rPr>
      </w:pPr>
      <w:hyperlink w:anchor="_Toc123331217" w:history="1">
        <w:r w:rsidRPr="00C90168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1.3 Основные способы и цели приобретения криптовалют</w:t>
        </w:r>
      </w:hyperlink>
    </w:p>
    <w:p w:rsidR="00C90168" w:rsidRPr="00C90168" w:rsidRDefault="00C90168" w:rsidP="00C90168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8"/>
        </w:rPr>
      </w:pPr>
      <w:hyperlink w:anchor="_Toc123331218" w:history="1">
        <w:r w:rsidRPr="00C90168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ГЛАВА 2 АНАЛИЗ РАЗВИТИЯ РЫНКА ЦИФРОВЫХ ДЕНЕГ В РОССИЙСКОЙ ФЕДЕРАЦИИ</w:t>
        </w:r>
      </w:hyperlink>
    </w:p>
    <w:p w:rsidR="00C90168" w:rsidRPr="00C90168" w:rsidRDefault="00C90168" w:rsidP="00C90168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8"/>
        </w:rPr>
      </w:pPr>
      <w:hyperlink w:anchor="_Toc123331219" w:history="1">
        <w:r w:rsidRPr="00C90168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2.1 Анализ динамики показателей развития глобального рынка криптовалют</w:t>
        </w:r>
      </w:hyperlink>
    </w:p>
    <w:p w:rsidR="00C90168" w:rsidRPr="00C90168" w:rsidRDefault="00C90168" w:rsidP="00C90168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8"/>
        </w:rPr>
      </w:pPr>
      <w:hyperlink w:anchor="_Toc123331220" w:history="1">
        <w:r w:rsidRPr="00C90168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2.2 Оценка участия российских граждан на криптовалютном рынке</w:t>
        </w:r>
      </w:hyperlink>
    </w:p>
    <w:p w:rsidR="00C90168" w:rsidRPr="00C90168" w:rsidRDefault="00C90168" w:rsidP="00C90168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8"/>
        </w:rPr>
      </w:pPr>
      <w:hyperlink w:anchor="_Toc123331221" w:history="1">
        <w:r w:rsidRPr="00C90168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2.3 Анализ проблем и рисков распространения криптовалют</w:t>
        </w:r>
      </w:hyperlink>
    </w:p>
    <w:p w:rsidR="00C90168" w:rsidRPr="00C90168" w:rsidRDefault="00C90168" w:rsidP="00C90168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8"/>
        </w:rPr>
      </w:pPr>
      <w:hyperlink w:anchor="_Toc123331222" w:history="1">
        <w:r w:rsidRPr="00C90168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ГЛАВА 3 РАЗРАБОТКА РЕКОМЕНДАЦИЙ ПО ПРИМЕНЕНИЮ ИНОСТРАННОГО ОПЫТА ПО РЕГУЛИРОВАНИЮ РЫНКА ЦИФРОВЫХ ДЕНЕГ В РОССИИ</w:t>
        </w:r>
      </w:hyperlink>
    </w:p>
    <w:p w:rsidR="00C90168" w:rsidRPr="00C90168" w:rsidRDefault="00C90168" w:rsidP="00C90168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8"/>
        </w:rPr>
      </w:pPr>
      <w:hyperlink w:anchor="_Toc123331223" w:history="1">
        <w:r w:rsidRPr="00C90168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3.1 Анализ позитивного опыта зарубежных стран по построению системы регулирования рынка цифровых денег</w:t>
        </w:r>
      </w:hyperlink>
    </w:p>
    <w:p w:rsidR="00C90168" w:rsidRPr="00C90168" w:rsidRDefault="00C90168" w:rsidP="00C90168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8"/>
        </w:rPr>
      </w:pPr>
      <w:hyperlink w:anchor="_Toc123331224" w:history="1">
        <w:r w:rsidRPr="00C90168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3.2 Пути адаптации зарубежного опыта в целях развития системы регулирования рынка цифровых денег в России</w:t>
        </w:r>
      </w:hyperlink>
    </w:p>
    <w:p w:rsidR="00C90168" w:rsidRPr="00C90168" w:rsidRDefault="00C90168" w:rsidP="00C90168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8"/>
        </w:rPr>
      </w:pPr>
      <w:hyperlink w:anchor="_Toc123331225" w:history="1">
        <w:r w:rsidRPr="00C90168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C90168" w:rsidRDefault="00C90168" w:rsidP="00C90168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8"/>
        </w:rPr>
      </w:pPr>
      <w:hyperlink w:anchor="_Toc123331226" w:history="1">
        <w:r w:rsidRPr="00C90168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СПИСОК ИСПОЛЬЗОВАННЫХ ИСТОЧНИКОВ</w:t>
        </w:r>
      </w:hyperlink>
    </w:p>
    <w:p w:rsidR="00C90168" w:rsidRDefault="00C90168" w:rsidP="00C90168"/>
    <w:p w:rsidR="00C90168" w:rsidRDefault="00C90168" w:rsidP="00C90168"/>
    <w:p w:rsidR="00C90168" w:rsidRDefault="00C90168" w:rsidP="00C90168"/>
    <w:p w:rsidR="00C90168" w:rsidRDefault="00C90168" w:rsidP="00C90168"/>
    <w:p w:rsidR="00C90168" w:rsidRDefault="00C90168" w:rsidP="00C90168"/>
    <w:p w:rsidR="00C90168" w:rsidRDefault="00C90168" w:rsidP="00C90168"/>
    <w:p w:rsidR="00C90168" w:rsidRDefault="00C90168" w:rsidP="00C90168"/>
    <w:p w:rsidR="00C90168" w:rsidRDefault="00C90168" w:rsidP="00C90168"/>
    <w:p w:rsidR="00C90168" w:rsidRPr="000B5606" w:rsidRDefault="00C90168" w:rsidP="00C90168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0" w:name="_Toc123331225"/>
      <w:r w:rsidRPr="000B5606">
        <w:rPr>
          <w:rFonts w:ascii="Times New Roman" w:hAnsi="Times New Roman" w:cs="Times New Roman"/>
          <w:color w:val="000000" w:themeColor="text1"/>
          <w:sz w:val="28"/>
        </w:rPr>
        <w:lastRenderedPageBreak/>
        <w:t>ЗАКЛЮЧЕНИЕ</w:t>
      </w:r>
      <w:bookmarkEnd w:id="0"/>
    </w:p>
    <w:p w:rsidR="00C90168" w:rsidRDefault="00C90168" w:rsidP="00C90168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C90168" w:rsidRPr="00C90168" w:rsidRDefault="00C90168" w:rsidP="00C9016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C90168">
        <w:rPr>
          <w:color w:val="111111"/>
          <w:sz w:val="28"/>
          <w:szCs w:val="28"/>
        </w:rPr>
        <w:t>Проведенное в выпускной квалификационной работе исследование позволило сделать следующие выводы:</w:t>
      </w:r>
    </w:p>
    <w:p w:rsidR="00C90168" w:rsidRPr="00C90168" w:rsidRDefault="00C90168" w:rsidP="00C901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168">
        <w:rPr>
          <w:rFonts w:ascii="Times New Roman" w:hAnsi="Times New Roman" w:cs="Times New Roman"/>
          <w:sz w:val="28"/>
          <w:szCs w:val="28"/>
        </w:rPr>
        <w:t xml:space="preserve">Виртуальные деньги и </w:t>
      </w:r>
      <w:proofErr w:type="spellStart"/>
      <w:r w:rsidRPr="00C90168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Pr="00C90168">
        <w:rPr>
          <w:rFonts w:ascii="Times New Roman" w:hAnsi="Times New Roman" w:cs="Times New Roman"/>
          <w:sz w:val="28"/>
          <w:szCs w:val="28"/>
        </w:rPr>
        <w:t xml:space="preserve"> являются новыми феноменами для финансовой науки, поэтому их изучение и проведение сущностного разграничения с категориями «цифровые деньги» и «электронные деньги» являются сложным и противоречивым процессом. Дальнейшее развитие виртуальных валют и поиск новых возможностей использования информационных технологий в финансовой сфере способствует приобретению инновационными платежными средствами новых характеристик и признаков, возникновению новых их подвидов. На сегодняшний день сформировались две категории цифровых денег – электронные деньги, главными признаками которых является признание государством как платежных средств, подконтрольность и централизованный выпуск, и виртуальные деньги, основу которых обеспечивают </w:t>
      </w:r>
      <w:proofErr w:type="spellStart"/>
      <w:r w:rsidRPr="00C90168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Pr="00C90168">
        <w:rPr>
          <w:rFonts w:ascii="Times New Roman" w:hAnsi="Times New Roman" w:cs="Times New Roman"/>
          <w:sz w:val="28"/>
          <w:szCs w:val="28"/>
        </w:rPr>
        <w:t>, характеризующиеся отсутствием регуляторного воздействия, преимущественно децентрализованным выпуском и отсутствием обеспечения в виде традиционных денег. денег.</w:t>
      </w:r>
    </w:p>
    <w:p w:rsidR="00C90168" w:rsidRPr="00C90168" w:rsidRDefault="00C90168" w:rsidP="00C90168"/>
    <w:p w:rsidR="00C90168" w:rsidRDefault="00C90168" w:rsidP="00C90168">
      <w:pPr>
        <w:rPr>
          <w:rFonts w:ascii="Times New Roman" w:hAnsi="Times New Roman" w:cs="Times New Roman"/>
        </w:rPr>
      </w:pPr>
    </w:p>
    <w:p w:rsidR="00C90168" w:rsidRDefault="00C90168" w:rsidP="00C90168">
      <w:pPr>
        <w:rPr>
          <w:rFonts w:ascii="Times New Roman" w:hAnsi="Times New Roman" w:cs="Times New Roman"/>
        </w:rPr>
      </w:pPr>
    </w:p>
    <w:p w:rsidR="00C90168" w:rsidRDefault="00C90168" w:rsidP="00C90168">
      <w:pPr>
        <w:rPr>
          <w:rFonts w:ascii="Times New Roman" w:hAnsi="Times New Roman" w:cs="Times New Roman"/>
        </w:rPr>
      </w:pPr>
    </w:p>
    <w:p w:rsidR="00C90168" w:rsidRDefault="00C90168" w:rsidP="00C90168">
      <w:pPr>
        <w:rPr>
          <w:rFonts w:ascii="Times New Roman" w:hAnsi="Times New Roman" w:cs="Times New Roman"/>
        </w:rPr>
      </w:pPr>
    </w:p>
    <w:p w:rsidR="00C90168" w:rsidRDefault="00C90168" w:rsidP="00C90168">
      <w:pPr>
        <w:rPr>
          <w:rFonts w:ascii="Times New Roman" w:hAnsi="Times New Roman" w:cs="Times New Roman"/>
        </w:rPr>
      </w:pPr>
    </w:p>
    <w:p w:rsidR="00C90168" w:rsidRDefault="00C90168" w:rsidP="00C90168">
      <w:pPr>
        <w:rPr>
          <w:rFonts w:ascii="Times New Roman" w:hAnsi="Times New Roman" w:cs="Times New Roman"/>
        </w:rPr>
      </w:pPr>
    </w:p>
    <w:p w:rsidR="00C90168" w:rsidRDefault="00C90168" w:rsidP="00C90168">
      <w:pPr>
        <w:rPr>
          <w:rFonts w:ascii="Times New Roman" w:hAnsi="Times New Roman" w:cs="Times New Roman"/>
        </w:rPr>
      </w:pPr>
    </w:p>
    <w:p w:rsidR="00C90168" w:rsidRDefault="00C90168" w:rsidP="00C90168">
      <w:pPr>
        <w:rPr>
          <w:rFonts w:ascii="Times New Roman" w:hAnsi="Times New Roman" w:cs="Times New Roman"/>
        </w:rPr>
      </w:pPr>
    </w:p>
    <w:p w:rsidR="00C90168" w:rsidRDefault="00C90168" w:rsidP="00C90168">
      <w:pPr>
        <w:rPr>
          <w:rFonts w:ascii="Times New Roman" w:hAnsi="Times New Roman" w:cs="Times New Roman"/>
        </w:rPr>
      </w:pPr>
    </w:p>
    <w:p w:rsidR="00C90168" w:rsidRDefault="00C90168" w:rsidP="00C90168">
      <w:pPr>
        <w:rPr>
          <w:rFonts w:ascii="Times New Roman" w:hAnsi="Times New Roman" w:cs="Times New Roman"/>
        </w:rPr>
      </w:pPr>
    </w:p>
    <w:p w:rsidR="00C90168" w:rsidRDefault="00C90168" w:rsidP="00C90168">
      <w:pPr>
        <w:rPr>
          <w:rFonts w:ascii="Times New Roman" w:hAnsi="Times New Roman" w:cs="Times New Roman"/>
        </w:rPr>
      </w:pPr>
    </w:p>
    <w:p w:rsidR="00C90168" w:rsidRPr="000B5606" w:rsidRDefault="00C90168" w:rsidP="00C90168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1" w:name="_Toc123331226"/>
      <w:r w:rsidRPr="000B5606">
        <w:rPr>
          <w:rFonts w:ascii="Times New Roman" w:hAnsi="Times New Roman" w:cs="Times New Roman"/>
          <w:color w:val="000000" w:themeColor="text1"/>
          <w:sz w:val="28"/>
        </w:rPr>
        <w:lastRenderedPageBreak/>
        <w:t>СПИСОК ИСПОЛЬЗОВАННЫХ ИСТОЧНИКОВ</w:t>
      </w:r>
      <w:bookmarkEnd w:id="1"/>
    </w:p>
    <w:p w:rsidR="00C90168" w:rsidRPr="007E7295" w:rsidRDefault="00C90168" w:rsidP="00C90168">
      <w:pPr>
        <w:spacing w:after="200" w:line="276" w:lineRule="auto"/>
        <w:rPr>
          <w:rFonts w:cs="Times New Roman"/>
        </w:rPr>
      </w:pPr>
    </w:p>
    <w:p w:rsidR="00C90168" w:rsidRPr="007E7295" w:rsidRDefault="00C90168" w:rsidP="00C90168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7E7295">
        <w:rPr>
          <w:rFonts w:cs="Times New Roman"/>
          <w:sz w:val="28"/>
          <w:szCs w:val="28"/>
        </w:rPr>
        <w:t xml:space="preserve">Александров Д. </w:t>
      </w:r>
      <w:proofErr w:type="spellStart"/>
      <w:r w:rsidRPr="007E7295">
        <w:rPr>
          <w:rFonts w:cs="Times New Roman"/>
          <w:sz w:val="28"/>
          <w:szCs w:val="28"/>
        </w:rPr>
        <w:t>Биткоин</w:t>
      </w:r>
      <w:proofErr w:type="spellEnd"/>
      <w:r w:rsidRPr="007E7295">
        <w:rPr>
          <w:rFonts w:cs="Times New Roman"/>
          <w:sz w:val="28"/>
          <w:szCs w:val="28"/>
        </w:rPr>
        <w:t xml:space="preserve"> вне закона // БОСС: Бизнес. Организация. Стратегия. – 2017. – № </w:t>
      </w:r>
      <w:proofErr w:type="gramStart"/>
      <w:r w:rsidRPr="007E7295">
        <w:rPr>
          <w:rFonts w:cs="Times New Roman"/>
          <w:sz w:val="28"/>
          <w:szCs w:val="28"/>
        </w:rPr>
        <w:t>12.–</w:t>
      </w:r>
      <w:proofErr w:type="gramEnd"/>
      <w:r w:rsidRPr="007E7295">
        <w:rPr>
          <w:rFonts w:cs="Times New Roman"/>
          <w:sz w:val="28"/>
          <w:szCs w:val="28"/>
        </w:rPr>
        <w:t xml:space="preserve"> С. 23–25.</w:t>
      </w:r>
    </w:p>
    <w:p w:rsidR="00C90168" w:rsidRPr="007E7295" w:rsidRDefault="00C90168" w:rsidP="00C90168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7E7295">
        <w:rPr>
          <w:rFonts w:cs="Times New Roman"/>
          <w:sz w:val="28"/>
          <w:szCs w:val="28"/>
        </w:rPr>
        <w:t>Александрова, Н. С. Проблема определения правового статуса цифровых денег / Н. С. Александрова // Научный руководитель. – 2018. – № 4(28). – С. 60-65.</w:t>
      </w:r>
    </w:p>
    <w:p w:rsidR="00C90168" w:rsidRPr="007E7295" w:rsidRDefault="00C90168" w:rsidP="00C90168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7E7295">
        <w:rPr>
          <w:rFonts w:cs="Times New Roman"/>
          <w:sz w:val="28"/>
          <w:szCs w:val="28"/>
        </w:rPr>
        <w:t>Андрюшин C. А. Открытый банкинг, кредитная активность, регулирование и надзор // Банковское дело. – 2017. – № 6. – С. 26–34.</w:t>
      </w:r>
    </w:p>
    <w:p w:rsidR="00C90168" w:rsidRPr="007E7295" w:rsidRDefault="00C90168" w:rsidP="00C90168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7E7295">
        <w:rPr>
          <w:rFonts w:cs="Times New Roman"/>
          <w:sz w:val="28"/>
          <w:szCs w:val="28"/>
        </w:rPr>
        <w:t>Арнаутов, Д. Р. Цифровые активы в системе российского права / Д. Р. Арнаутов, М. Г. Ерохина // Российский юридический журнал. – 2019. – № 4(127). – С. 148-157.</w:t>
      </w:r>
    </w:p>
    <w:p w:rsidR="00C90168" w:rsidRPr="007E7295" w:rsidRDefault="00C90168" w:rsidP="00C90168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7E7295">
        <w:rPr>
          <w:rFonts w:cs="Times New Roman"/>
          <w:sz w:val="28"/>
          <w:szCs w:val="28"/>
        </w:rPr>
        <w:t>Бондаренко, А. А. К вопросу о понятии и сущности цифрового рубля в РФ / А. А. Бондаренко // Молодой ученый. – 2021. – № 52(394). – С. 7-9.</w:t>
      </w:r>
    </w:p>
    <w:p w:rsidR="00C90168" w:rsidRPr="00C90168" w:rsidRDefault="00C90168" w:rsidP="00C90168">
      <w:pPr>
        <w:rPr>
          <w:rFonts w:ascii="Times New Roman" w:hAnsi="Times New Roman" w:cs="Times New Roman"/>
        </w:rPr>
      </w:pPr>
      <w:bookmarkStart w:id="2" w:name="_GoBack"/>
      <w:bookmarkEnd w:id="2"/>
    </w:p>
    <w:sectPr w:rsidR="00C90168" w:rsidRPr="00C9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3D7F"/>
    <w:multiLevelType w:val="hybridMultilevel"/>
    <w:tmpl w:val="DBD05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76"/>
    <w:rsid w:val="008F17A2"/>
    <w:rsid w:val="00A87476"/>
    <w:rsid w:val="00C9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D1C7"/>
  <w15:chartTrackingRefBased/>
  <w15:docId w15:val="{064C42EF-682E-4722-8380-FA21BF74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016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168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C90168"/>
    <w:pPr>
      <w:spacing w:after="100" w:line="240" w:lineRule="auto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C90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C9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90168"/>
    <w:pPr>
      <w:spacing w:after="0" w:line="240" w:lineRule="auto"/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2023-10-05T06:17:00Z</dcterms:created>
  <dcterms:modified xsi:type="dcterms:W3CDTF">2023-10-05T06:19:00Z</dcterms:modified>
</cp:coreProperties>
</file>