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37" w:rsidRDefault="00984237" w:rsidP="00984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4237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984237">
        <w:rPr>
          <w:rFonts w:ascii="Times New Roman" w:hAnsi="Times New Roman" w:cs="Times New Roman"/>
          <w:sz w:val="28"/>
          <w:szCs w:val="28"/>
        </w:rPr>
        <w:t xml:space="preserve">_ </w:t>
      </w:r>
      <w:r w:rsidRPr="00984237">
        <w:rPr>
          <w:rFonts w:ascii="Times New Roman" w:hAnsi="Times New Roman" w:cs="Times New Roman"/>
          <w:sz w:val="28"/>
          <w:szCs w:val="28"/>
        </w:rPr>
        <w:t>ПУТИ СОВЕРШЕНСТВОВАНИЯ УЧЕТА И АНАЛИЗ ЭФФЕКТИВНОСТИ ИСПОЛЬЗОВАНИЯ ДОЛГОСРОЧНЫХ АКТИВОВ</w:t>
      </w:r>
    </w:p>
    <w:p w:rsidR="00984237" w:rsidRDefault="00984237" w:rsidP="00984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–88 учет и аудит</w:t>
      </w:r>
    </w:p>
    <w:p w:rsidR="00984237" w:rsidRDefault="00984237" w:rsidP="00984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237" w:rsidRPr="00252165" w:rsidRDefault="00984237" w:rsidP="00984237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0" w:name="_Toc513120177"/>
      <w:bookmarkStart w:id="1" w:name="_Toc514477230"/>
      <w:bookmarkStart w:id="2" w:name="_Toc514497486"/>
      <w:r w:rsidRPr="00252165">
        <w:rPr>
          <w:rFonts w:ascii="Times New Roman" w:hAnsi="Times New Roman" w:cs="Times New Roman"/>
          <w:caps/>
          <w:color w:val="000000" w:themeColor="text1"/>
        </w:rPr>
        <w:t>Содержание</w:t>
      </w:r>
      <w:bookmarkEnd w:id="0"/>
      <w:bookmarkEnd w:id="1"/>
      <w:bookmarkEnd w:id="2"/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id w:val="-688292884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2"/>
          <w:szCs w:val="22"/>
        </w:rPr>
      </w:sdtEndPr>
      <w:sdtContent>
        <w:p w:rsidR="00984237" w:rsidRPr="00252165" w:rsidRDefault="00984237" w:rsidP="00984237">
          <w:pPr>
            <w:pStyle w:val="a4"/>
            <w:keepNext w:val="0"/>
            <w:keepLines w:val="0"/>
            <w:widowControl w:val="0"/>
            <w:spacing w:before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984237" w:rsidRPr="00252165" w:rsidRDefault="00984237" w:rsidP="00984237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25216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25216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25216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514497492" w:history="1">
            <w:r w:rsidRPr="00252165">
              <w:rPr>
                <w:rStyle w:val="a3"/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>Введение</w:t>
            </w:r>
          </w:hyperlink>
        </w:p>
        <w:p w:rsidR="00984237" w:rsidRPr="00252165" w:rsidRDefault="00984237" w:rsidP="00984237">
          <w:pPr>
            <w:spacing w:after="0" w:line="240" w:lineRule="auto"/>
            <w:rPr>
              <w:noProof/>
            </w:rPr>
          </w:pPr>
        </w:p>
        <w:p w:rsidR="00984237" w:rsidRPr="00252165" w:rsidRDefault="00984237" w:rsidP="00984237">
          <w:pPr>
            <w:pStyle w:val="11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14497493" w:history="1">
            <w:r w:rsidRPr="00252165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1    Теоретические аспекты учета и анализа эффективности   использования долгосрочных активов</w:t>
            </w:r>
          </w:hyperlink>
        </w:p>
        <w:p w:rsidR="00984237" w:rsidRPr="00252165" w:rsidRDefault="00984237" w:rsidP="00984237">
          <w:pPr>
            <w:pStyle w:val="11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497494" w:history="1">
            <w:r w:rsidRPr="002521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Долгосрочные активы как экономические ресурсы предприятия, их сущностные и квалификационные характеристики</w:t>
            </w:r>
          </w:hyperlink>
        </w:p>
        <w:p w:rsidR="00984237" w:rsidRPr="00252165" w:rsidRDefault="00984237" w:rsidP="00984237">
          <w:pPr>
            <w:pStyle w:val="11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497497" w:history="1">
            <w:r w:rsidRPr="002521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Оценка, признание и отражение в финансовом и налоговом учете предприятия долгосрочных активов</w:t>
            </w:r>
          </w:hyperlink>
        </w:p>
        <w:p w:rsidR="00984237" w:rsidRPr="00252165" w:rsidRDefault="00984237" w:rsidP="00984237">
          <w:pPr>
            <w:pStyle w:val="11"/>
            <w:tabs>
              <w:tab w:val="right" w:leader="dot" w:pos="9628"/>
            </w:tabs>
            <w:spacing w:after="0" w:line="240" w:lineRule="auto"/>
            <w:ind w:left="426" w:hanging="426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514497498" w:history="1">
            <w:r w:rsidRPr="002521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Зарубежный опыт учета и анализа эффективности использования долгосрочных активов</w:t>
            </w:r>
          </w:hyperlink>
        </w:p>
        <w:p w:rsidR="00984237" w:rsidRPr="00252165" w:rsidRDefault="00984237" w:rsidP="00984237">
          <w:pPr>
            <w:spacing w:after="0" w:line="240" w:lineRule="auto"/>
            <w:rPr>
              <w:noProof/>
            </w:rPr>
          </w:pPr>
        </w:p>
        <w:p w:rsidR="00984237" w:rsidRPr="00252165" w:rsidRDefault="00984237" w:rsidP="00984237">
          <w:pPr>
            <w:pStyle w:val="11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14497499" w:history="1">
            <w:r w:rsidRPr="00252165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2    Состояние учета долгосрочных активов и анализ эффективности их использования</w:t>
            </w:r>
          </w:hyperlink>
        </w:p>
        <w:p w:rsidR="00984237" w:rsidRPr="00252165" w:rsidRDefault="00984237" w:rsidP="00984237">
          <w:pPr>
            <w:pStyle w:val="11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497500" w:history="1">
            <w:r w:rsidRPr="002521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Организация учета долгосрочных активов</w:t>
            </w:r>
          </w:hyperlink>
        </w:p>
        <w:p w:rsidR="00984237" w:rsidRPr="00252165" w:rsidRDefault="00984237" w:rsidP="00984237">
          <w:pPr>
            <w:pStyle w:val="11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497501" w:history="1">
            <w:r w:rsidRPr="002521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Анализ формирования и эффективности использования долгосрочных активов</w:t>
            </w:r>
          </w:hyperlink>
        </w:p>
        <w:p w:rsidR="00984237" w:rsidRPr="00252165" w:rsidRDefault="00984237" w:rsidP="00984237">
          <w:pPr>
            <w:pStyle w:val="11"/>
            <w:tabs>
              <w:tab w:val="right" w:leader="dot" w:pos="9628"/>
            </w:tabs>
            <w:spacing w:after="0" w:line="240" w:lineRule="auto"/>
            <w:ind w:left="426" w:hanging="426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514497542" w:history="1">
            <w:r w:rsidRPr="002521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Проблемы в организации учета долгосрочных активов и в       эффективности их использования</w:t>
            </w:r>
          </w:hyperlink>
        </w:p>
        <w:p w:rsidR="00984237" w:rsidRPr="00252165" w:rsidRDefault="00984237" w:rsidP="00984237">
          <w:pPr>
            <w:spacing w:after="0" w:line="240" w:lineRule="auto"/>
            <w:rPr>
              <w:noProof/>
            </w:rPr>
          </w:pPr>
        </w:p>
        <w:p w:rsidR="00984237" w:rsidRPr="00252165" w:rsidRDefault="00984237" w:rsidP="00984237">
          <w:pPr>
            <w:pStyle w:val="11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14497543" w:history="1">
            <w:r w:rsidRPr="00252165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3    Пути совершенствования учета и повышение эффективности использования долгосрочных активов</w:t>
            </w:r>
          </w:hyperlink>
        </w:p>
        <w:p w:rsidR="00984237" w:rsidRPr="00252165" w:rsidRDefault="00984237" w:rsidP="00984237">
          <w:pPr>
            <w:pStyle w:val="11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497544" w:history="1">
            <w:r w:rsidRPr="002521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 Пути совершенствования учета долгосрочных активов</w:t>
            </w:r>
          </w:hyperlink>
        </w:p>
        <w:p w:rsidR="00984237" w:rsidRPr="00252165" w:rsidRDefault="00984237" w:rsidP="00984237">
          <w:pPr>
            <w:pStyle w:val="11"/>
            <w:tabs>
              <w:tab w:val="right" w:leader="dot" w:pos="9628"/>
            </w:tabs>
            <w:spacing w:after="0" w:line="240" w:lineRule="auto"/>
            <w:ind w:left="426" w:hanging="426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514497545" w:history="1">
            <w:r w:rsidRPr="0025216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 Пути повышения эффективности использования долгосрочных           активов</w:t>
            </w:r>
          </w:hyperlink>
        </w:p>
        <w:p w:rsidR="00984237" w:rsidRPr="00252165" w:rsidRDefault="00984237" w:rsidP="00984237">
          <w:pPr>
            <w:spacing w:after="0" w:line="240" w:lineRule="auto"/>
            <w:rPr>
              <w:noProof/>
            </w:rPr>
          </w:pPr>
        </w:p>
        <w:p w:rsidR="00984237" w:rsidRPr="00252165" w:rsidRDefault="00984237" w:rsidP="00984237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514497547" w:history="1">
            <w:r w:rsidRPr="00252165">
              <w:rPr>
                <w:rStyle w:val="a3"/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>Заключение</w:t>
            </w:r>
          </w:hyperlink>
        </w:p>
        <w:p w:rsidR="00984237" w:rsidRPr="00252165" w:rsidRDefault="00984237" w:rsidP="00984237">
          <w:pPr>
            <w:spacing w:after="0" w:line="240" w:lineRule="auto"/>
            <w:rPr>
              <w:noProof/>
            </w:rPr>
          </w:pPr>
        </w:p>
        <w:p w:rsidR="00984237" w:rsidRPr="00252165" w:rsidRDefault="00984237" w:rsidP="00984237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514497548" w:history="1">
            <w:r w:rsidRPr="00252165">
              <w:rPr>
                <w:rStyle w:val="a3"/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984237" w:rsidRPr="00252165" w:rsidRDefault="00984237" w:rsidP="00984237">
          <w:pPr>
            <w:spacing w:after="0" w:line="240" w:lineRule="auto"/>
            <w:rPr>
              <w:noProof/>
            </w:rPr>
          </w:pPr>
        </w:p>
        <w:p w:rsidR="00984237" w:rsidRPr="00252165" w:rsidRDefault="00984237" w:rsidP="00984237">
          <w:pPr>
            <w:widowControl w:val="0"/>
            <w:spacing w:after="0" w:line="240" w:lineRule="auto"/>
            <w:rPr>
              <w:rFonts w:ascii="Times New Roman" w:hAnsi="Times New Roman" w:cs="Times New Roman"/>
            </w:rPr>
          </w:pPr>
          <w:r w:rsidRPr="00252165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984237" w:rsidRPr="00252165" w:rsidRDefault="00984237" w:rsidP="0098423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84237" w:rsidRDefault="00984237">
      <w:pPr>
        <w:spacing w:after="160" w:line="259" w:lineRule="auto"/>
        <w:rPr>
          <w:rFonts w:ascii="Times New Roman" w:hAnsi="Times New Roman" w:cs="Times New Roman"/>
        </w:rPr>
      </w:pPr>
      <w:r w:rsidRPr="0025216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551CA" wp14:editId="601F9942">
                <wp:simplePos x="0" y="0"/>
                <wp:positionH relativeFrom="column">
                  <wp:posOffset>2621280</wp:posOffset>
                </wp:positionH>
                <wp:positionV relativeFrom="paragraph">
                  <wp:posOffset>936625</wp:posOffset>
                </wp:positionV>
                <wp:extent cx="926465" cy="676910"/>
                <wp:effectExtent l="0" t="0" r="6985" b="8890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6465" cy="676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5832" id="Прямоугольник 227" o:spid="_x0000_s1026" style="position:absolute;margin-left:206.4pt;margin-top:73.75pt;width:72.9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Pr="002521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761E1" wp14:editId="4882B39A">
                <wp:simplePos x="0" y="0"/>
                <wp:positionH relativeFrom="margin">
                  <wp:align>center</wp:align>
                </wp:positionH>
                <wp:positionV relativeFrom="paragraph">
                  <wp:posOffset>1808480</wp:posOffset>
                </wp:positionV>
                <wp:extent cx="480060" cy="396240"/>
                <wp:effectExtent l="0" t="0" r="0" b="3810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10402" id="Прямоугольник 224" o:spid="_x0000_s1026" style="position:absolute;margin-left:0;margin-top:142.4pt;width:37.8pt;height:31.2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" fillcolor="white [3212]" stroked="f" strokeweight="1pt">
                <w10:wrap anchorx="margin"/>
              </v:rect>
            </w:pict>
          </mc:Fallback>
        </mc:AlternateContent>
      </w:r>
      <w:r w:rsidRPr="0025216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03FE" wp14:editId="48731A70">
                <wp:simplePos x="0" y="0"/>
                <wp:positionH relativeFrom="column">
                  <wp:posOffset>2246952</wp:posOffset>
                </wp:positionH>
                <wp:positionV relativeFrom="paragraph">
                  <wp:posOffset>2198812</wp:posOffset>
                </wp:positionV>
                <wp:extent cx="1424940" cy="795655"/>
                <wp:effectExtent l="0" t="0" r="381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4940" cy="795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7DE3E" id="Прямоугольник 1" o:spid="_x0000_s1026" style="position:absolute;margin-left:176.95pt;margin-top:173.15pt;width:112.2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" fillcolor="window" stroked="f" strokeweight="2pt">
                <v:path arrowok="t"/>
              </v:rect>
            </w:pict>
          </mc:Fallback>
        </mc:AlternateContent>
      </w:r>
      <w:r w:rsidRPr="00252165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br w:type="page"/>
      </w:r>
    </w:p>
    <w:p w:rsidR="00984237" w:rsidRPr="00252165" w:rsidRDefault="00984237" w:rsidP="00984237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3" w:name="_Toc514497547"/>
      <w:r w:rsidRPr="00252165">
        <w:rPr>
          <w:rFonts w:ascii="Times New Roman" w:hAnsi="Times New Roman" w:cs="Times New Roman"/>
          <w:caps/>
          <w:color w:val="000000" w:themeColor="text1"/>
        </w:rPr>
        <w:lastRenderedPageBreak/>
        <w:t>Заключение</w:t>
      </w:r>
      <w:bookmarkEnd w:id="3"/>
    </w:p>
    <w:p w:rsidR="00984237" w:rsidRPr="00252165" w:rsidRDefault="00984237" w:rsidP="009842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237" w:rsidRPr="00252165" w:rsidRDefault="00984237" w:rsidP="009842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237" w:rsidRPr="00252165" w:rsidRDefault="00984237" w:rsidP="009842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65">
        <w:rPr>
          <w:rFonts w:ascii="Times New Roman" w:hAnsi="Times New Roman" w:cs="Times New Roman"/>
          <w:sz w:val="28"/>
          <w:szCs w:val="28"/>
        </w:rPr>
        <w:t>Цель диссертационного исследования состояла в изучении теоретических аспектов, практического состояния учета и анализа долгосрочных активов в АО «» и формирования рекомендаций по совершенствованию учета и повышению эффективности использования долгосрочных активов АО "".</w:t>
      </w:r>
    </w:p>
    <w:p w:rsidR="00984237" w:rsidRPr="00252165" w:rsidRDefault="00984237" w:rsidP="009842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65">
        <w:rPr>
          <w:rFonts w:ascii="Times New Roman" w:hAnsi="Times New Roman" w:cs="Times New Roman"/>
          <w:sz w:val="28"/>
          <w:szCs w:val="28"/>
        </w:rPr>
        <w:t>На первом этапе было проведено изучение теоретических аспектов учета и анализа эффективности использования долгосрочных активов, которое позволило сделать следующие выводы:</w:t>
      </w:r>
    </w:p>
    <w:p w:rsidR="00984237" w:rsidRPr="00252165" w:rsidRDefault="00984237" w:rsidP="009842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65">
        <w:rPr>
          <w:rFonts w:ascii="Times New Roman" w:hAnsi="Times New Roman" w:cs="Times New Roman"/>
          <w:sz w:val="28"/>
          <w:szCs w:val="28"/>
        </w:rPr>
        <w:t xml:space="preserve">- </w:t>
      </w:r>
      <w:r w:rsidRPr="00252165">
        <w:rPr>
          <w:rFonts w:ascii="Times New Roman" w:hAnsi="Times New Roman" w:cs="Times New Roman"/>
          <w:bCs/>
          <w:sz w:val="28"/>
          <w:szCs w:val="28"/>
        </w:rPr>
        <w:t>долгосрочные активы</w:t>
      </w:r>
      <w:r w:rsidRPr="00252165">
        <w:rPr>
          <w:rFonts w:ascii="Times New Roman" w:hAnsi="Times New Roman" w:cs="Times New Roman"/>
          <w:sz w:val="28"/>
          <w:szCs w:val="28"/>
        </w:rPr>
        <w:t xml:space="preserve"> - это активы, которые содержатся на балансе предприятия более одного операционного цикла и не могут быть быстро конвертированы в денежную форму;</w:t>
      </w:r>
    </w:p>
    <w:p w:rsidR="00984237" w:rsidRPr="00252165" w:rsidRDefault="00984237" w:rsidP="009842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65">
        <w:rPr>
          <w:rFonts w:ascii="Times New Roman" w:hAnsi="Times New Roman" w:cs="Times New Roman"/>
          <w:sz w:val="28"/>
          <w:szCs w:val="28"/>
        </w:rPr>
        <w:t>- долгосрочные активы подразделяются на: материальные (основные средства и незавершенное капитальное строительство); нематериальные; прочие долгосрочные активы; долгосрочная дебиторская задолженность (срок погашения больше года);</w:t>
      </w:r>
    </w:p>
    <w:p w:rsidR="00984237" w:rsidRPr="00252165" w:rsidRDefault="00984237" w:rsidP="00984237">
      <w:pPr>
        <w:widowContro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84237" w:rsidRPr="00984237" w:rsidRDefault="00984237" w:rsidP="0098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237" w:rsidRDefault="00984237">
      <w:pPr>
        <w:spacing w:after="160" w:line="259" w:lineRule="auto"/>
      </w:pPr>
      <w:r>
        <w:br w:type="page"/>
      </w:r>
    </w:p>
    <w:p w:rsidR="00984237" w:rsidRPr="00252165" w:rsidRDefault="00984237" w:rsidP="00984237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4" w:name="_Toc514497548"/>
      <w:r w:rsidRPr="00252165">
        <w:rPr>
          <w:rFonts w:ascii="Times New Roman" w:hAnsi="Times New Roman" w:cs="Times New Roman"/>
          <w:caps/>
          <w:color w:val="000000" w:themeColor="text1"/>
        </w:rPr>
        <w:lastRenderedPageBreak/>
        <w:t>Список использованных источников</w:t>
      </w:r>
      <w:bookmarkEnd w:id="4"/>
    </w:p>
    <w:p w:rsidR="00984237" w:rsidRPr="00252165" w:rsidRDefault="00984237" w:rsidP="009842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237" w:rsidRPr="00252165" w:rsidRDefault="00984237" w:rsidP="009842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237" w:rsidRPr="00252165" w:rsidRDefault="00984237" w:rsidP="00984237">
      <w:pPr>
        <w:pStyle w:val="12"/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252165">
        <w:rPr>
          <w:sz w:val="28"/>
          <w:szCs w:val="28"/>
        </w:rPr>
        <w:t xml:space="preserve">Бланк И.А. Финансовый менеджмент: учебный курс / И.А. Бланк. - К.: «Ника-Центр», </w:t>
      </w:r>
      <w:proofErr w:type="spellStart"/>
      <w:r w:rsidRPr="00252165">
        <w:rPr>
          <w:sz w:val="28"/>
          <w:szCs w:val="28"/>
        </w:rPr>
        <w:t>Эльга</w:t>
      </w:r>
      <w:proofErr w:type="spellEnd"/>
      <w:r w:rsidRPr="00252165">
        <w:rPr>
          <w:sz w:val="28"/>
          <w:szCs w:val="28"/>
        </w:rPr>
        <w:t xml:space="preserve"> - 2008. - 528 с.</w:t>
      </w:r>
    </w:p>
    <w:p w:rsidR="00984237" w:rsidRPr="00252165" w:rsidRDefault="00984237" w:rsidP="00984237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165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 w:rsidRPr="00252165">
        <w:rPr>
          <w:rFonts w:ascii="Times New Roman" w:hAnsi="Times New Roman" w:cs="Times New Roman"/>
          <w:sz w:val="28"/>
          <w:szCs w:val="28"/>
        </w:rPr>
        <w:t xml:space="preserve"> Г.И. Экономика, организация и планирование производства на предприятии: </w:t>
      </w:r>
      <w:proofErr w:type="spellStart"/>
      <w:proofErr w:type="gramStart"/>
      <w:r w:rsidRPr="0025216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 w:rsidRPr="00252165">
        <w:rPr>
          <w:rFonts w:ascii="Times New Roman" w:hAnsi="Times New Roman" w:cs="Times New Roman"/>
          <w:sz w:val="28"/>
          <w:szCs w:val="28"/>
        </w:rPr>
        <w:t xml:space="preserve"> для студентов экономических факультетов и вузов. Ростов –н/Д «</w:t>
      </w:r>
      <w:proofErr w:type="spellStart"/>
      <w:r w:rsidRPr="00252165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252165">
        <w:rPr>
          <w:rFonts w:ascii="Times New Roman" w:hAnsi="Times New Roman" w:cs="Times New Roman"/>
          <w:sz w:val="28"/>
          <w:szCs w:val="28"/>
        </w:rPr>
        <w:t xml:space="preserve">»; Феникс, </w:t>
      </w:r>
      <w:proofErr w:type="gramStart"/>
      <w:r w:rsidRPr="00252165">
        <w:rPr>
          <w:rFonts w:ascii="Times New Roman" w:hAnsi="Times New Roman" w:cs="Times New Roman"/>
          <w:sz w:val="28"/>
          <w:szCs w:val="28"/>
        </w:rPr>
        <w:t>2010.-</w:t>
      </w:r>
      <w:proofErr w:type="gramEnd"/>
      <w:r w:rsidRPr="00252165">
        <w:rPr>
          <w:rFonts w:ascii="Times New Roman" w:hAnsi="Times New Roman" w:cs="Times New Roman"/>
          <w:sz w:val="28"/>
          <w:szCs w:val="28"/>
        </w:rPr>
        <w:t>600 с.</w:t>
      </w:r>
    </w:p>
    <w:p w:rsidR="00984237" w:rsidRPr="00252165" w:rsidRDefault="00984237" w:rsidP="00984237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165">
        <w:rPr>
          <w:rFonts w:ascii="Times New Roman" w:hAnsi="Times New Roman" w:cs="Times New Roman"/>
          <w:sz w:val="28"/>
          <w:szCs w:val="28"/>
        </w:rPr>
        <w:t xml:space="preserve">Ефимова О. В. Финансовый анализ. – 4-е изд. – М.: 2008. – 193 с. </w:t>
      </w:r>
    </w:p>
    <w:p w:rsidR="00984237" w:rsidRPr="00252165" w:rsidRDefault="00984237" w:rsidP="00984237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165">
        <w:rPr>
          <w:rFonts w:ascii="Times New Roman" w:hAnsi="Times New Roman" w:cs="Times New Roman"/>
          <w:sz w:val="28"/>
          <w:szCs w:val="28"/>
        </w:rPr>
        <w:t xml:space="preserve">Сапарова Б.С. Финансовый менеджмент: Учеб. пособие / Под общ. ред. У. </w:t>
      </w:r>
      <w:proofErr w:type="spellStart"/>
      <w:r w:rsidRPr="00252165">
        <w:rPr>
          <w:rFonts w:ascii="Times New Roman" w:hAnsi="Times New Roman" w:cs="Times New Roman"/>
          <w:sz w:val="28"/>
          <w:szCs w:val="28"/>
        </w:rPr>
        <w:t>Баймуратова</w:t>
      </w:r>
      <w:proofErr w:type="spellEnd"/>
      <w:r w:rsidRPr="00252165">
        <w:rPr>
          <w:rFonts w:ascii="Times New Roman" w:hAnsi="Times New Roman" w:cs="Times New Roman"/>
          <w:sz w:val="28"/>
          <w:szCs w:val="28"/>
        </w:rPr>
        <w:t>. - Алматы: Экономика, 2008. - 848 с.</w:t>
      </w:r>
    </w:p>
    <w:p w:rsidR="00984237" w:rsidRPr="00252165" w:rsidRDefault="00984237" w:rsidP="00984237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165">
        <w:rPr>
          <w:rFonts w:ascii="Times New Roman" w:hAnsi="Times New Roman" w:cs="Times New Roman"/>
          <w:sz w:val="28"/>
          <w:szCs w:val="28"/>
        </w:rPr>
        <w:t>Учет долгосрочных активов и оптимизация прибыли в рамках МСФО // Материалы международной науч.-</w:t>
      </w:r>
      <w:proofErr w:type="spellStart"/>
      <w:r w:rsidRPr="0025216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52165">
        <w:rPr>
          <w:rFonts w:ascii="Times New Roman" w:hAnsi="Times New Roman" w:cs="Times New Roman"/>
          <w:sz w:val="28"/>
          <w:szCs w:val="28"/>
        </w:rPr>
        <w:t>. конференции «Повышение конкурентоспособности сельскохозяйственного производства Казахстана: проблемы, пути решения (18-</w:t>
      </w:r>
      <w:proofErr w:type="gramStart"/>
      <w:r w:rsidRPr="00252165">
        <w:rPr>
          <w:rFonts w:ascii="Times New Roman" w:hAnsi="Times New Roman" w:cs="Times New Roman"/>
          <w:sz w:val="28"/>
          <w:szCs w:val="28"/>
        </w:rPr>
        <w:t>19.Х.</w:t>
      </w:r>
      <w:proofErr w:type="gramEnd"/>
      <w:r w:rsidRPr="00252165">
        <w:rPr>
          <w:rFonts w:ascii="Times New Roman" w:hAnsi="Times New Roman" w:cs="Times New Roman"/>
          <w:sz w:val="28"/>
          <w:szCs w:val="28"/>
        </w:rPr>
        <w:t xml:space="preserve">2007) </w:t>
      </w:r>
      <w:proofErr w:type="spellStart"/>
      <w:r w:rsidRPr="00252165">
        <w:rPr>
          <w:rFonts w:ascii="Times New Roman" w:hAnsi="Times New Roman" w:cs="Times New Roman"/>
          <w:sz w:val="28"/>
          <w:szCs w:val="28"/>
        </w:rPr>
        <w:t>КазНАУ</w:t>
      </w:r>
      <w:proofErr w:type="spellEnd"/>
      <w:r w:rsidRPr="00252165">
        <w:rPr>
          <w:rFonts w:ascii="Times New Roman" w:hAnsi="Times New Roman" w:cs="Times New Roman"/>
          <w:sz w:val="28"/>
          <w:szCs w:val="28"/>
        </w:rPr>
        <w:t xml:space="preserve"> -2014. - 233 с.;</w:t>
      </w:r>
    </w:p>
    <w:p w:rsidR="00A10BDD" w:rsidRDefault="00A10BDD">
      <w:bookmarkStart w:id="5" w:name="_GoBack"/>
      <w:bookmarkEnd w:id="5"/>
    </w:p>
    <w:sectPr w:rsidR="00A1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C5C38"/>
    <w:multiLevelType w:val="hybridMultilevel"/>
    <w:tmpl w:val="32FA157E"/>
    <w:lvl w:ilvl="0" w:tplc="0D362B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CD"/>
    <w:rsid w:val="00984237"/>
    <w:rsid w:val="00A10BDD"/>
    <w:rsid w:val="00D8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19D2"/>
  <w15:chartTrackingRefBased/>
  <w15:docId w15:val="{5E880F10-FCF4-430A-8EA5-92ADCA9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37"/>
    <w:pPr>
      <w:spacing w:after="200" w:line="276" w:lineRule="auto"/>
    </w:pPr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uiPriority w:val="9"/>
    <w:qFormat/>
    <w:rsid w:val="00984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,Заголовок Д1 Знак"/>
    <w:basedOn w:val="a0"/>
    <w:link w:val="1"/>
    <w:uiPriority w:val="9"/>
    <w:rsid w:val="009842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84237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98423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4237"/>
    <w:pPr>
      <w:spacing w:after="100"/>
    </w:pPr>
  </w:style>
  <w:style w:type="paragraph" w:styleId="a5">
    <w:name w:val="List Paragraph"/>
    <w:basedOn w:val="a"/>
    <w:link w:val="a6"/>
    <w:uiPriority w:val="34"/>
    <w:qFormat/>
    <w:rsid w:val="0098423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84237"/>
  </w:style>
  <w:style w:type="paragraph" w:customStyle="1" w:styleId="12">
    <w:name w:val="Абзац списка1"/>
    <w:basedOn w:val="a"/>
    <w:qFormat/>
    <w:rsid w:val="00984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2020-02-13T08:17:00Z</dcterms:created>
  <dcterms:modified xsi:type="dcterms:W3CDTF">2020-02-13T08:19:00Z</dcterms:modified>
</cp:coreProperties>
</file>