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EC" w:rsidRDefault="007C4FEC" w:rsidP="007C4FE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стратегии развития электрогенерирующего</w:t>
      </w:r>
    </w:p>
    <w:p w:rsidR="004604BD" w:rsidRDefault="007C4FEC" w:rsidP="007C4FE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Акционерного Общества в Республике Казахстан</w:t>
      </w:r>
    </w:p>
    <w:p w:rsidR="007C4FEC" w:rsidRDefault="007C4FEC" w:rsidP="007C4FE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Стр_97</w:t>
      </w:r>
    </w:p>
    <w:p w:rsidR="007C4FEC" w:rsidRDefault="007C4FEC" w:rsidP="007C4FEC">
      <w:pPr>
        <w:rPr>
          <w:rFonts w:ascii="Times New Roman" w:hAnsi="Times New Roman" w:cs="Times New Roman"/>
          <w:sz w:val="28"/>
          <w:szCs w:val="28"/>
        </w:rPr>
      </w:pPr>
    </w:p>
    <w:p w:rsidR="007C4FEC" w:rsidRPr="00E71C73" w:rsidRDefault="007C4FEC" w:rsidP="007C4FEC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E71C73">
        <w:fldChar w:fldCharType="begin"/>
      </w:r>
      <w:r w:rsidRPr="00E71C73">
        <w:instrText xml:space="preserve"> TOC \o "1-3" \h \z \u </w:instrText>
      </w:r>
      <w:r w:rsidRPr="00E71C73">
        <w:fldChar w:fldCharType="separate"/>
      </w:r>
      <w:hyperlink w:anchor="_Toc47261821" w:history="1">
        <w:r w:rsidRPr="00E71C73">
          <w:rPr>
            <w:rStyle w:val="a3"/>
          </w:rPr>
          <w:t>ВВЕДЕНИЕ</w:t>
        </w:r>
      </w:hyperlink>
    </w:p>
    <w:p w:rsidR="007C4FEC" w:rsidRPr="00E71C73" w:rsidRDefault="00504199" w:rsidP="007C4FEC">
      <w:pPr>
        <w:pStyle w:val="11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22" w:history="1">
        <w:r w:rsidR="007C4FEC" w:rsidRPr="00E71C73">
          <w:rPr>
            <w:rStyle w:val="a3"/>
          </w:rPr>
          <w:t>I. ОПИСАНИ</w:t>
        </w:r>
        <w:r w:rsidR="007C4FEC">
          <w:rPr>
            <w:rStyle w:val="a3"/>
          </w:rPr>
          <w:t>Е ДЕЯТЕЛЬНОСТИ АО «</w:t>
        </w:r>
        <w:r w:rsidR="007C4FEC" w:rsidRPr="00E71C73">
          <w:rPr>
            <w:rStyle w:val="a3"/>
          </w:rPr>
          <w:t>» НА СОВРЕМЕННОМ ЭТАПЕ</w:t>
        </w:r>
      </w:hyperlink>
    </w:p>
    <w:p w:rsidR="007C4FEC" w:rsidRPr="00E71C73" w:rsidRDefault="00504199" w:rsidP="007C4FEC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23" w:history="1">
        <w:r w:rsidR="007C4FEC" w:rsidRPr="00E71C73">
          <w:rPr>
            <w:rStyle w:val="a3"/>
          </w:rPr>
          <w:t xml:space="preserve">1.1. Краткая характеристика деятельности АО </w:t>
        </w:r>
      </w:hyperlink>
    </w:p>
    <w:p w:rsidR="007C4FEC" w:rsidRPr="00E71C73" w:rsidRDefault="00504199" w:rsidP="007C4FEC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24" w:history="1">
        <w:r w:rsidR="007C4FEC" w:rsidRPr="00E71C73">
          <w:rPr>
            <w:rStyle w:val="a3"/>
          </w:rPr>
          <w:t>1.2. Позиционирование Компании на рынке</w:t>
        </w:r>
      </w:hyperlink>
    </w:p>
    <w:p w:rsidR="007C4FEC" w:rsidRPr="00E71C73" w:rsidRDefault="00504199" w:rsidP="007C4FEC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25" w:history="1">
        <w:r w:rsidR="007C4FEC" w:rsidRPr="00E71C73">
          <w:rPr>
            <w:rStyle w:val="a3"/>
          </w:rPr>
          <w:t>1.3. Бенчмаркинг (сравнение с аналогами)</w:t>
        </w:r>
      </w:hyperlink>
      <w:r w:rsidR="007C4FEC" w:rsidRPr="00E71C73">
        <w:rPr>
          <w:rFonts w:asciiTheme="minorHAnsi" w:eastAsiaTheme="minorEastAsia" w:hAnsiTheme="minorHAnsi" w:cstheme="minorBidi"/>
          <w:sz w:val="22"/>
          <w:szCs w:val="22"/>
          <w:lang w:eastAsia="ru-RU"/>
        </w:rPr>
        <w:t xml:space="preserve"> </w:t>
      </w:r>
    </w:p>
    <w:p w:rsidR="007C4FEC" w:rsidRPr="00E71C73" w:rsidRDefault="00504199" w:rsidP="007C4FEC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26" w:history="1">
        <w:r w:rsidR="007C4FEC" w:rsidRPr="00E71C73">
          <w:rPr>
            <w:rStyle w:val="a3"/>
          </w:rPr>
          <w:t>1.4. Анализ существующих и потенциальных угроз и рисков</w:t>
        </w:r>
      </w:hyperlink>
    </w:p>
    <w:p w:rsidR="007C4FEC" w:rsidRPr="00E71C73" w:rsidRDefault="00504199" w:rsidP="007C4FEC">
      <w:pPr>
        <w:pStyle w:val="11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27" w:history="1">
        <w:r w:rsidR="007C4FEC" w:rsidRPr="00E71C73">
          <w:rPr>
            <w:rStyle w:val="a3"/>
          </w:rPr>
          <w:t>II. ОБОСНОВАНИЕ НЕОБХОДИМОСТИ АКТУАЛИЗАЦИИ СТ</w:t>
        </w:r>
        <w:r w:rsidR="007C4FEC">
          <w:rPr>
            <w:rStyle w:val="a3"/>
          </w:rPr>
          <w:t xml:space="preserve">РАТЕГИИ РАЗВИТИЯ КОМПАНИИ АО </w:t>
        </w:r>
        <w:r w:rsidR="007C4FEC" w:rsidRPr="00E71C73">
          <w:rPr>
            <w:rStyle w:val="a3"/>
          </w:rPr>
          <w:t xml:space="preserve"> В СООТВЕТСТВИИ С ИЗМЕНЕНИЯМИ ВНЕШНЕЙ СРЕДЫ</w:t>
        </w:r>
      </w:hyperlink>
    </w:p>
    <w:p w:rsidR="007C4FEC" w:rsidRPr="00E71C73" w:rsidRDefault="00504199" w:rsidP="007C4FEC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28" w:history="1">
        <w:r w:rsidR="007C4FEC" w:rsidRPr="00E71C73">
          <w:rPr>
            <w:rStyle w:val="a3"/>
          </w:rPr>
          <w:t>2.1.</w:t>
        </w:r>
        <w:r w:rsidR="007C4FEC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 xml:space="preserve"> </w:t>
        </w:r>
        <w:r w:rsidR="007C4FEC" w:rsidRPr="00E71C73">
          <w:rPr>
            <w:rStyle w:val="a3"/>
          </w:rPr>
          <w:t>Анализ внутренней и внешней среды</w:t>
        </w:r>
      </w:hyperlink>
    </w:p>
    <w:p w:rsidR="007C4FEC" w:rsidRPr="00E71C73" w:rsidRDefault="00504199" w:rsidP="007C4FEC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29" w:history="1">
        <w:r w:rsidR="007C4FEC" w:rsidRPr="00E71C73">
          <w:rPr>
            <w:rStyle w:val="a3"/>
          </w:rPr>
          <w:t>2.2</w:t>
        </w:r>
        <w:r w:rsidR="007C4FEC">
          <w:rPr>
            <w:rStyle w:val="a3"/>
          </w:rPr>
          <w:t xml:space="preserve">. </w:t>
        </w:r>
        <w:r w:rsidR="007C4FEC" w:rsidRPr="00E71C73">
          <w:rPr>
            <w:rStyle w:val="a3"/>
          </w:rPr>
          <w:t>Корпоративное управление и Устойчивое развитие</w:t>
        </w:r>
      </w:hyperlink>
    </w:p>
    <w:p w:rsidR="007C4FEC" w:rsidRPr="00E71C73" w:rsidRDefault="00504199" w:rsidP="007C4FEC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30" w:history="1">
        <w:r w:rsidR="007C4FEC" w:rsidRPr="00E71C73">
          <w:rPr>
            <w:rStyle w:val="a3"/>
          </w:rPr>
          <w:t>2.3.</w:t>
        </w:r>
        <w:r w:rsidR="007C4FEC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 xml:space="preserve"> </w:t>
        </w:r>
        <w:r w:rsidR="007C4FEC" w:rsidRPr="00E71C73">
          <w:rPr>
            <w:rStyle w:val="a3"/>
          </w:rPr>
          <w:t>Внешние и внутренние вызовы стоящие перед Компанией</w:t>
        </w:r>
      </w:hyperlink>
    </w:p>
    <w:p w:rsidR="007C4FEC" w:rsidRPr="00E71C73" w:rsidRDefault="00504199" w:rsidP="007C4FEC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31" w:history="1">
        <w:r w:rsidR="007C4FEC" w:rsidRPr="00E71C73">
          <w:rPr>
            <w:rStyle w:val="a3"/>
          </w:rPr>
          <w:t>2.4</w:t>
        </w:r>
        <w:r w:rsidR="007C4FEC">
          <w:rPr>
            <w:rStyle w:val="a3"/>
          </w:rPr>
          <w:t xml:space="preserve">. </w:t>
        </w:r>
        <w:r w:rsidR="007C4FEC" w:rsidRPr="00E71C73">
          <w:rPr>
            <w:rStyle w:val="a3"/>
          </w:rPr>
          <w:t>SWOT-анализ</w:t>
        </w:r>
      </w:hyperlink>
    </w:p>
    <w:p w:rsidR="007C4FEC" w:rsidRPr="00E71C73" w:rsidRDefault="00504199" w:rsidP="007C4FEC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32" w:history="1">
        <w:r w:rsidR="007C4FEC" w:rsidRPr="00E71C73">
          <w:rPr>
            <w:rStyle w:val="a3"/>
          </w:rPr>
          <w:t>2.5</w:t>
        </w:r>
        <w:r w:rsidR="007C4FEC">
          <w:rPr>
            <w:rStyle w:val="a3"/>
          </w:rPr>
          <w:t xml:space="preserve">. </w:t>
        </w:r>
        <w:r w:rsidR="007C4FEC" w:rsidRPr="00E71C73">
          <w:rPr>
            <w:rStyle w:val="a3"/>
          </w:rPr>
          <w:t>KPI и их целевые значения</w:t>
        </w:r>
      </w:hyperlink>
    </w:p>
    <w:p w:rsidR="007C4FEC" w:rsidRPr="00E71C73" w:rsidRDefault="00504199" w:rsidP="007C4FEC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33" w:history="1">
        <w:r w:rsidR="007C4FEC" w:rsidRPr="00E71C73">
          <w:rPr>
            <w:rStyle w:val="a3"/>
          </w:rPr>
          <w:t>2.6</w:t>
        </w:r>
        <w:r w:rsidR="007C4FEC">
          <w:rPr>
            <w:rStyle w:val="a3"/>
          </w:rPr>
          <w:t>.</w:t>
        </w:r>
        <w:r w:rsidR="007C4FEC" w:rsidRPr="00E71C73">
          <w:rPr>
            <w:rStyle w:val="a3"/>
          </w:rPr>
          <w:t xml:space="preserve"> Определение возможностей для достижения целей</w:t>
        </w:r>
      </w:hyperlink>
    </w:p>
    <w:p w:rsidR="007C4FEC" w:rsidRPr="00E71C73" w:rsidRDefault="00504199" w:rsidP="007C4FEC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34" w:history="1">
        <w:r w:rsidR="007C4FEC" w:rsidRPr="00E71C73">
          <w:rPr>
            <w:rStyle w:val="a3"/>
          </w:rPr>
          <w:t>2.7</w:t>
        </w:r>
        <w:r w:rsidR="007C4FEC">
          <w:rPr>
            <w:rStyle w:val="a3"/>
          </w:rPr>
          <w:t>.</w:t>
        </w:r>
        <w:r w:rsidR="007C4FEC" w:rsidRPr="00E71C73">
          <w:rPr>
            <w:rStyle w:val="a3"/>
          </w:rPr>
          <w:t xml:space="preserve"> Необходимость актуализации Стратегии</w:t>
        </w:r>
      </w:hyperlink>
    </w:p>
    <w:p w:rsidR="007C4FEC" w:rsidRPr="00E71C73" w:rsidRDefault="00504199" w:rsidP="007C4FEC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35" w:history="1">
        <w:r w:rsidR="007C4FEC" w:rsidRPr="00E71C73">
          <w:rPr>
            <w:rStyle w:val="a3"/>
          </w:rPr>
          <w:t>2.8</w:t>
        </w:r>
        <w:r w:rsidR="007C4FEC">
          <w:rPr>
            <w:rStyle w:val="a3"/>
          </w:rPr>
          <w:t>.</w:t>
        </w:r>
        <w:r w:rsidR="007C4FEC" w:rsidRPr="00E71C73">
          <w:rPr>
            <w:rStyle w:val="a3"/>
          </w:rPr>
          <w:t xml:space="preserve"> Цели актуализации Стратегии</w:t>
        </w:r>
      </w:hyperlink>
    </w:p>
    <w:p w:rsidR="007C4FEC" w:rsidRPr="00E71C73" w:rsidRDefault="00504199" w:rsidP="007C4FEC">
      <w:pPr>
        <w:pStyle w:val="11"/>
        <w:spacing w:line="240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36" w:history="1">
        <w:r w:rsidR="007C4FEC" w:rsidRPr="00E71C73">
          <w:rPr>
            <w:rStyle w:val="a3"/>
            <w:lang w:val="en-US"/>
          </w:rPr>
          <w:t>III</w:t>
        </w:r>
        <w:r w:rsidR="007C4FEC" w:rsidRPr="00E71C73">
          <w:rPr>
            <w:rStyle w:val="a3"/>
          </w:rPr>
          <w:t>. РАЗРАБОТКА АКТУАЛИЗИРОВАННОЙ СТРАТЕГИИ РАЗВИТИЯ ГРУППЫ КОМПАНИЙ АО  НА ДОЛГОСРОЧНУЮ ПЕРСПЕКТИВ</w:t>
        </w:r>
        <w:r w:rsidR="007C4FEC">
          <w:rPr>
            <w:rStyle w:val="a3"/>
          </w:rPr>
          <w:t>У</w:t>
        </w:r>
      </w:hyperlink>
    </w:p>
    <w:p w:rsidR="007C4FEC" w:rsidRPr="00E71C73" w:rsidRDefault="00504199" w:rsidP="007C4FEC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37" w:history="1">
        <w:r w:rsidR="007C4FEC" w:rsidRPr="00E71C73">
          <w:rPr>
            <w:rStyle w:val="a3"/>
          </w:rPr>
          <w:t>3.1. Миссия и видение</w:t>
        </w:r>
      </w:hyperlink>
    </w:p>
    <w:p w:rsidR="007C4FEC" w:rsidRPr="00E71C73" w:rsidRDefault="00504199" w:rsidP="007C4FEC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38" w:history="1">
        <w:r w:rsidR="007C4FEC" w:rsidRPr="00E71C73">
          <w:rPr>
            <w:rStyle w:val="a3"/>
          </w:rPr>
          <w:t>3.2.</w:t>
        </w:r>
        <w:r w:rsidR="007C4FEC">
          <w:rPr>
            <w:rStyle w:val="a3"/>
          </w:rPr>
          <w:t xml:space="preserve"> </w:t>
        </w:r>
        <w:r w:rsidR="007C4FEC" w:rsidRPr="00E71C73">
          <w:rPr>
            <w:rStyle w:val="a3"/>
          </w:rPr>
          <w:t>Постановка стратегических целей</w:t>
        </w:r>
      </w:hyperlink>
    </w:p>
    <w:p w:rsidR="007C4FEC" w:rsidRPr="00E71C73" w:rsidRDefault="00504199" w:rsidP="007C4FEC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39" w:history="1">
        <w:r w:rsidR="007C4FEC" w:rsidRPr="00E71C73">
          <w:rPr>
            <w:rStyle w:val="a3"/>
          </w:rPr>
          <w:t>3.3.</w:t>
        </w:r>
        <w:r w:rsidR="007C4FEC">
          <w:rPr>
            <w:rStyle w:val="a3"/>
          </w:rPr>
          <w:t xml:space="preserve"> </w:t>
        </w:r>
        <w:r w:rsidR="007C4FEC" w:rsidRPr="00E71C73">
          <w:rPr>
            <w:rStyle w:val="a3"/>
          </w:rPr>
          <w:t>Стратегические инициативы</w:t>
        </w:r>
      </w:hyperlink>
    </w:p>
    <w:p w:rsidR="007C4FEC" w:rsidRPr="00E71C73" w:rsidRDefault="00504199" w:rsidP="007C4FEC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40" w:history="1">
        <w:r w:rsidR="007C4FEC" w:rsidRPr="00E71C73">
          <w:rPr>
            <w:rStyle w:val="a3"/>
          </w:rPr>
          <w:t>3.4.</w:t>
        </w:r>
        <w:r w:rsidR="007C4FEC">
          <w:rPr>
            <w:rStyle w:val="a3"/>
          </w:rPr>
          <w:t xml:space="preserve"> </w:t>
        </w:r>
        <w:r w:rsidR="007C4FEC" w:rsidRPr="00E71C73">
          <w:rPr>
            <w:rStyle w:val="a3"/>
          </w:rPr>
          <w:t>Стратегические риски и мероприятия по управлению ими</w:t>
        </w:r>
      </w:hyperlink>
    </w:p>
    <w:p w:rsidR="007C4FEC" w:rsidRPr="00E71C73" w:rsidRDefault="00504199" w:rsidP="007C4FEC">
      <w:pPr>
        <w:pStyle w:val="11"/>
        <w:tabs>
          <w:tab w:val="left" w:pos="66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41" w:history="1">
        <w:r w:rsidR="007C4FEC" w:rsidRPr="00E71C73">
          <w:rPr>
            <w:rStyle w:val="a3"/>
          </w:rPr>
          <w:t>3.5.</w:t>
        </w:r>
        <w:r w:rsidR="007C4FEC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 xml:space="preserve"> </w:t>
        </w:r>
        <w:r w:rsidR="007C4FEC" w:rsidRPr="00E71C73">
          <w:rPr>
            <w:rStyle w:val="a3"/>
          </w:rPr>
          <w:t>Предпосылки успешной реализации Стратегии</w:t>
        </w:r>
      </w:hyperlink>
    </w:p>
    <w:p w:rsidR="007C4FEC" w:rsidRPr="00E71C73" w:rsidRDefault="00504199" w:rsidP="007C4FEC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42" w:history="1">
        <w:r w:rsidR="007C4FEC" w:rsidRPr="00E71C73">
          <w:rPr>
            <w:rStyle w:val="a3"/>
          </w:rPr>
          <w:t>ЗАКЛЮЧЕНИЕ</w:t>
        </w:r>
      </w:hyperlink>
    </w:p>
    <w:p w:rsidR="007C4FEC" w:rsidRPr="00E71C73" w:rsidRDefault="00504199" w:rsidP="007C4FEC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7261843" w:history="1">
        <w:r w:rsidR="007C4FEC" w:rsidRPr="00E71C73">
          <w:rPr>
            <w:rStyle w:val="a3"/>
          </w:rPr>
          <w:t>СПИСОК ИСПОЛЬЗОВАННОЙ ЛИТЕРАТУРЫ</w:t>
        </w:r>
      </w:hyperlink>
    </w:p>
    <w:p w:rsidR="007C4FEC" w:rsidRPr="00E71C73" w:rsidRDefault="007C4FEC" w:rsidP="007C4FE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C73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7C4FEC" w:rsidRPr="00504199" w:rsidRDefault="007C4FEC" w:rsidP="0050419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Toc47261842"/>
      <w:bookmarkStart w:id="1" w:name="_GoBack"/>
      <w:bookmarkEnd w:id="1"/>
      <w:r w:rsidRPr="007C4F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  <w:bookmarkEnd w:id="0"/>
    </w:p>
    <w:p w:rsidR="007C4FEC" w:rsidRPr="007C4FEC" w:rsidRDefault="007C4FEC" w:rsidP="007C4F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FEC" w:rsidRPr="007C4FEC" w:rsidRDefault="007C4FEC" w:rsidP="007C4FE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в рамках данной работы базировалось на данных </w:t>
      </w:r>
      <w:proofErr w:type="gramStart"/>
      <w:r w:rsidRPr="007C4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АО  которое</w:t>
      </w:r>
      <w:proofErr w:type="gramEnd"/>
      <w:r w:rsidRPr="007C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крупнейшим электроэнергетическим холдингом в Казахстане, обеспечивая работой более 17,5 тыс. человек. Установленная мощность электрических станций группы составляет 6,8 гигаватт или 31% от суммарной мощности ЕЭС РК.</w:t>
      </w:r>
      <w:r w:rsidRPr="007C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развития госкомпания </w:t>
      </w:r>
      <w:r w:rsidRPr="007C4F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себя в будущем эффективной высокотехнологичной операционной энергетической компанией – лидером энергетики Казахстана.</w:t>
      </w:r>
    </w:p>
    <w:p w:rsidR="007C4FEC" w:rsidRDefault="007C4FE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4FEC" w:rsidRPr="000819E0" w:rsidRDefault="007C4FEC" w:rsidP="007C4FE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47261843"/>
      <w:r w:rsidRPr="00081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ИСПОЛЬЗОВАННОЙ ЛИТЕРАТУРЫ</w:t>
      </w:r>
      <w:bookmarkEnd w:id="2"/>
    </w:p>
    <w:p w:rsidR="007C4FEC" w:rsidRPr="005B0517" w:rsidRDefault="007C4FEC" w:rsidP="007C4FEC">
      <w:pPr>
        <w:pStyle w:val="text-splitter-active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10BE">
        <w:rPr>
          <w:sz w:val="28"/>
          <w:szCs w:val="28"/>
        </w:rPr>
        <w:t xml:space="preserve">Постановление Правительства Республики Казахстан от 28 июня 2014 года № 724 «Об утверждении Концепции развития топливно-энергетического комплекса Республики Казахстан до 2030 года» </w:t>
      </w:r>
      <w:r w:rsidRPr="005B0517">
        <w:rPr>
          <w:sz w:val="28"/>
          <w:szCs w:val="28"/>
        </w:rPr>
        <w:t xml:space="preserve">[Электронный ресурс]. URL: </w:t>
      </w:r>
      <w:hyperlink r:id="rId5" w:history="1">
        <w:r w:rsidRPr="005B0517">
          <w:rPr>
            <w:rStyle w:val="a3"/>
            <w:sz w:val="28"/>
            <w:szCs w:val="28"/>
          </w:rPr>
          <w:t>http://adilet.zan.kz/rus/docs/P1400000724</w:t>
        </w:r>
      </w:hyperlink>
      <w:r w:rsidRPr="005B0517">
        <w:rPr>
          <w:sz w:val="28"/>
          <w:szCs w:val="28"/>
        </w:rPr>
        <w:t>.</w:t>
      </w:r>
    </w:p>
    <w:p w:rsidR="007C4FEC" w:rsidRPr="00767BC3" w:rsidRDefault="007C4FEC" w:rsidP="007C4FEC">
      <w:pPr>
        <w:pStyle w:val="text-splitter-active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10BE">
        <w:rPr>
          <w:sz w:val="28"/>
          <w:szCs w:val="28"/>
        </w:rPr>
        <w:t xml:space="preserve">Консолидированная финансовая отчетность и </w:t>
      </w:r>
      <w:r>
        <w:rPr>
          <w:sz w:val="28"/>
          <w:szCs w:val="28"/>
        </w:rPr>
        <w:t xml:space="preserve">Отчет независимого аудитора АО </w:t>
      </w:r>
      <w:r w:rsidRPr="00AA10BE">
        <w:rPr>
          <w:sz w:val="28"/>
          <w:szCs w:val="28"/>
        </w:rPr>
        <w:t>за 2019 год [Электронный ресурс].</w:t>
      </w:r>
      <w:r>
        <w:rPr>
          <w:sz w:val="28"/>
          <w:szCs w:val="28"/>
        </w:rPr>
        <w:t xml:space="preserve"> </w:t>
      </w:r>
    </w:p>
    <w:p w:rsidR="007C4FEC" w:rsidRPr="007C4FEC" w:rsidRDefault="007C4FEC" w:rsidP="00AF511C">
      <w:pPr>
        <w:pStyle w:val="text-splitter-active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4FEC">
        <w:rPr>
          <w:sz w:val="28"/>
          <w:szCs w:val="28"/>
        </w:rPr>
        <w:t xml:space="preserve">Отчет руководства АО «о результатах деятельности за 2019 год [Электронный ресурс]. </w:t>
      </w:r>
      <w:hyperlink r:id="rId6" w:history="1">
        <w:r w:rsidRPr="007C4FEC">
          <w:rPr>
            <w:rStyle w:val="a3"/>
            <w:sz w:val="28"/>
            <w:szCs w:val="28"/>
          </w:rPr>
          <w:t>https://kstnews.kz/news/kazakhstan/item-57607</w:t>
        </w:r>
      </w:hyperlink>
      <w:r w:rsidRPr="007C4FEC">
        <w:rPr>
          <w:sz w:val="28"/>
          <w:szCs w:val="28"/>
        </w:rPr>
        <w:t>.</w:t>
      </w:r>
    </w:p>
    <w:p w:rsidR="007C4FEC" w:rsidRPr="00051125" w:rsidRDefault="007C4FEC" w:rsidP="007C4FEC">
      <w:pPr>
        <w:pStyle w:val="text-splitter-active"/>
        <w:numPr>
          <w:ilvl w:val="0"/>
          <w:numId w:val="1"/>
        </w:numPr>
        <w:spacing w:line="360" w:lineRule="auto"/>
        <w:ind w:left="0" w:firstLine="709"/>
        <w:jc w:val="both"/>
        <w:rPr>
          <w:rStyle w:val="a3"/>
          <w:color w:val="auto"/>
          <w:sz w:val="28"/>
          <w:szCs w:val="28"/>
          <w:u w:val="none"/>
        </w:rPr>
      </w:pPr>
      <w:r w:rsidRPr="00813D64">
        <w:rPr>
          <w:sz w:val="28"/>
          <w:szCs w:val="28"/>
        </w:rPr>
        <w:t xml:space="preserve"> Канат </w:t>
      </w:r>
      <w:proofErr w:type="spellStart"/>
      <w:r w:rsidRPr="00813D64">
        <w:rPr>
          <w:sz w:val="28"/>
          <w:szCs w:val="28"/>
        </w:rPr>
        <w:t>Бозумбаев</w:t>
      </w:r>
      <w:proofErr w:type="spellEnd"/>
      <w:r w:rsidRPr="00813D64">
        <w:rPr>
          <w:sz w:val="28"/>
          <w:szCs w:val="28"/>
        </w:rPr>
        <w:t xml:space="preserve">: С 1 января 2019 года у нас начнет функционировать рынок мощности. [Электронный ресурс]. </w:t>
      </w:r>
      <w:r w:rsidRPr="00813D64">
        <w:rPr>
          <w:sz w:val="28"/>
          <w:szCs w:val="28"/>
          <w:lang w:val="en-US"/>
        </w:rPr>
        <w:t>URL</w:t>
      </w:r>
      <w:r w:rsidRPr="00E71C73">
        <w:rPr>
          <w:sz w:val="28"/>
          <w:szCs w:val="28"/>
        </w:rPr>
        <w:t xml:space="preserve">: </w:t>
      </w:r>
      <w:hyperlink r:id="rId7" w:history="1">
        <w:r w:rsidRPr="00813D64">
          <w:rPr>
            <w:rStyle w:val="a3"/>
            <w:sz w:val="28"/>
            <w:szCs w:val="28"/>
            <w:lang w:val="en-US"/>
          </w:rPr>
          <w:t>https</w:t>
        </w:r>
        <w:r w:rsidRPr="00E71C73">
          <w:rPr>
            <w:rStyle w:val="a3"/>
            <w:sz w:val="28"/>
            <w:szCs w:val="28"/>
          </w:rPr>
          <w:t>://</w:t>
        </w:r>
        <w:proofErr w:type="spellStart"/>
        <w:r w:rsidRPr="00813D64">
          <w:rPr>
            <w:rStyle w:val="a3"/>
            <w:sz w:val="28"/>
            <w:szCs w:val="28"/>
            <w:lang w:val="en-US"/>
          </w:rPr>
          <w:t>kursiv</w:t>
        </w:r>
        <w:proofErr w:type="spellEnd"/>
        <w:r w:rsidRPr="00E71C73">
          <w:rPr>
            <w:rStyle w:val="a3"/>
            <w:sz w:val="28"/>
            <w:szCs w:val="28"/>
          </w:rPr>
          <w:t>.</w:t>
        </w:r>
        <w:proofErr w:type="spellStart"/>
        <w:r w:rsidRPr="00813D64">
          <w:rPr>
            <w:rStyle w:val="a3"/>
            <w:sz w:val="28"/>
            <w:szCs w:val="28"/>
            <w:lang w:val="en-US"/>
          </w:rPr>
          <w:t>kz</w:t>
        </w:r>
        <w:proofErr w:type="spellEnd"/>
        <w:r w:rsidRPr="00E71C73">
          <w:rPr>
            <w:rStyle w:val="a3"/>
            <w:sz w:val="28"/>
            <w:szCs w:val="28"/>
          </w:rPr>
          <w:t>/</w:t>
        </w:r>
        <w:r w:rsidRPr="00813D64">
          <w:rPr>
            <w:rStyle w:val="a3"/>
            <w:sz w:val="28"/>
            <w:szCs w:val="28"/>
            <w:lang w:val="en-US"/>
          </w:rPr>
          <w:t>news</w:t>
        </w:r>
        <w:r w:rsidRPr="00E71C73">
          <w:rPr>
            <w:rStyle w:val="a3"/>
            <w:sz w:val="28"/>
            <w:szCs w:val="28"/>
          </w:rPr>
          <w:t>/</w:t>
        </w:r>
        <w:proofErr w:type="spellStart"/>
        <w:r w:rsidRPr="00813D64">
          <w:rPr>
            <w:rStyle w:val="a3"/>
            <w:sz w:val="28"/>
            <w:szCs w:val="28"/>
            <w:lang w:val="en-US"/>
          </w:rPr>
          <w:t>kompanii</w:t>
        </w:r>
        <w:proofErr w:type="spellEnd"/>
        <w:r w:rsidRPr="00E71C73">
          <w:rPr>
            <w:rStyle w:val="a3"/>
            <w:sz w:val="28"/>
            <w:szCs w:val="28"/>
          </w:rPr>
          <w:t>-</w:t>
        </w:r>
        <w:proofErr w:type="spellStart"/>
        <w:r w:rsidRPr="00813D64">
          <w:rPr>
            <w:rStyle w:val="a3"/>
            <w:sz w:val="28"/>
            <w:szCs w:val="28"/>
            <w:lang w:val="en-US"/>
          </w:rPr>
          <w:t>i</w:t>
        </w:r>
        <w:proofErr w:type="spellEnd"/>
        <w:r w:rsidRPr="00E71C73">
          <w:rPr>
            <w:rStyle w:val="a3"/>
            <w:sz w:val="28"/>
            <w:szCs w:val="28"/>
          </w:rPr>
          <w:t>-</w:t>
        </w:r>
        <w:proofErr w:type="spellStart"/>
        <w:r w:rsidRPr="00813D64">
          <w:rPr>
            <w:rStyle w:val="a3"/>
            <w:sz w:val="28"/>
            <w:szCs w:val="28"/>
            <w:lang w:val="en-US"/>
          </w:rPr>
          <w:t>rynki</w:t>
        </w:r>
        <w:proofErr w:type="spellEnd"/>
        <w:r w:rsidRPr="00E71C73">
          <w:rPr>
            <w:rStyle w:val="a3"/>
            <w:sz w:val="28"/>
            <w:szCs w:val="28"/>
          </w:rPr>
          <w:t>/2017-07/</w:t>
        </w:r>
        <w:proofErr w:type="spellStart"/>
        <w:r w:rsidRPr="00813D64">
          <w:rPr>
            <w:rStyle w:val="a3"/>
            <w:sz w:val="28"/>
            <w:szCs w:val="28"/>
            <w:lang w:val="en-US"/>
          </w:rPr>
          <w:t>kanat</w:t>
        </w:r>
        <w:proofErr w:type="spellEnd"/>
        <w:r w:rsidRPr="00E71C73">
          <w:rPr>
            <w:rStyle w:val="a3"/>
            <w:sz w:val="28"/>
            <w:szCs w:val="28"/>
          </w:rPr>
          <w:t>-</w:t>
        </w:r>
        <w:proofErr w:type="spellStart"/>
        <w:r w:rsidRPr="00813D64">
          <w:rPr>
            <w:rStyle w:val="a3"/>
            <w:sz w:val="28"/>
            <w:szCs w:val="28"/>
            <w:lang w:val="en-US"/>
          </w:rPr>
          <w:t>bozumbaev</w:t>
        </w:r>
        <w:proofErr w:type="spellEnd"/>
        <w:r w:rsidRPr="00E71C73">
          <w:rPr>
            <w:rStyle w:val="a3"/>
            <w:sz w:val="28"/>
            <w:szCs w:val="28"/>
          </w:rPr>
          <w:t>-</w:t>
        </w:r>
        <w:r w:rsidRPr="00813D64">
          <w:rPr>
            <w:rStyle w:val="a3"/>
            <w:sz w:val="28"/>
            <w:szCs w:val="28"/>
            <w:lang w:val="en-US"/>
          </w:rPr>
          <w:t>s</w:t>
        </w:r>
        <w:r w:rsidRPr="00E71C73">
          <w:rPr>
            <w:rStyle w:val="a3"/>
            <w:sz w:val="28"/>
            <w:szCs w:val="28"/>
          </w:rPr>
          <w:t>-1-</w:t>
        </w:r>
        <w:proofErr w:type="spellStart"/>
        <w:r w:rsidRPr="00813D64">
          <w:rPr>
            <w:rStyle w:val="a3"/>
            <w:sz w:val="28"/>
            <w:szCs w:val="28"/>
            <w:lang w:val="en-US"/>
          </w:rPr>
          <w:t>yanvarya</w:t>
        </w:r>
        <w:proofErr w:type="spellEnd"/>
        <w:r w:rsidRPr="00E71C73">
          <w:rPr>
            <w:rStyle w:val="a3"/>
            <w:sz w:val="28"/>
            <w:szCs w:val="28"/>
          </w:rPr>
          <w:t>-2019-</w:t>
        </w:r>
        <w:proofErr w:type="spellStart"/>
        <w:r w:rsidRPr="00813D64">
          <w:rPr>
            <w:rStyle w:val="a3"/>
            <w:sz w:val="28"/>
            <w:szCs w:val="28"/>
            <w:lang w:val="en-US"/>
          </w:rPr>
          <w:t>goda</w:t>
        </w:r>
        <w:proofErr w:type="spellEnd"/>
        <w:r w:rsidRPr="00E71C73">
          <w:rPr>
            <w:rStyle w:val="a3"/>
            <w:sz w:val="28"/>
            <w:szCs w:val="28"/>
          </w:rPr>
          <w:t>-</w:t>
        </w:r>
        <w:r w:rsidRPr="00813D64">
          <w:rPr>
            <w:rStyle w:val="a3"/>
            <w:sz w:val="28"/>
            <w:szCs w:val="28"/>
            <w:lang w:val="en-US"/>
          </w:rPr>
          <w:t>u</w:t>
        </w:r>
        <w:r w:rsidRPr="00E71C73">
          <w:rPr>
            <w:rStyle w:val="a3"/>
            <w:sz w:val="28"/>
            <w:szCs w:val="28"/>
          </w:rPr>
          <w:t>-</w:t>
        </w:r>
        <w:proofErr w:type="spellStart"/>
        <w:r w:rsidRPr="00813D64">
          <w:rPr>
            <w:rStyle w:val="a3"/>
            <w:sz w:val="28"/>
            <w:szCs w:val="28"/>
            <w:lang w:val="en-US"/>
          </w:rPr>
          <w:t>nas</w:t>
        </w:r>
        <w:proofErr w:type="spellEnd"/>
        <w:r w:rsidRPr="00E71C73">
          <w:rPr>
            <w:rStyle w:val="a3"/>
            <w:sz w:val="28"/>
            <w:szCs w:val="28"/>
          </w:rPr>
          <w:t>-</w:t>
        </w:r>
        <w:proofErr w:type="spellStart"/>
        <w:r w:rsidRPr="00813D64">
          <w:rPr>
            <w:rStyle w:val="a3"/>
            <w:sz w:val="28"/>
            <w:szCs w:val="28"/>
            <w:lang w:val="en-US"/>
          </w:rPr>
          <w:t>nachnet</w:t>
        </w:r>
        <w:proofErr w:type="spellEnd"/>
        <w:r w:rsidRPr="00E71C73">
          <w:rPr>
            <w:rStyle w:val="a3"/>
            <w:sz w:val="28"/>
            <w:szCs w:val="28"/>
          </w:rPr>
          <w:t>-</w:t>
        </w:r>
        <w:proofErr w:type="spellStart"/>
        <w:r w:rsidRPr="00813D64">
          <w:rPr>
            <w:rStyle w:val="a3"/>
            <w:sz w:val="28"/>
            <w:szCs w:val="28"/>
            <w:lang w:val="en-US"/>
          </w:rPr>
          <w:t>funkcionirovat</w:t>
        </w:r>
        <w:proofErr w:type="spellEnd"/>
        <w:r w:rsidRPr="00E71C73">
          <w:rPr>
            <w:rStyle w:val="a3"/>
            <w:sz w:val="28"/>
            <w:szCs w:val="28"/>
          </w:rPr>
          <w:t>/</w:t>
        </w:r>
      </w:hyperlink>
    </w:p>
    <w:p w:rsidR="00051125" w:rsidRPr="00BD219D" w:rsidRDefault="00051125" w:rsidP="00051125">
      <w:pPr>
        <w:pStyle w:val="text-splitter-active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D219D">
        <w:rPr>
          <w:sz w:val="28"/>
          <w:szCs w:val="28"/>
        </w:rPr>
        <w:t>Аакер</w:t>
      </w:r>
      <w:proofErr w:type="spellEnd"/>
      <w:r w:rsidRPr="00BD219D">
        <w:rPr>
          <w:sz w:val="28"/>
          <w:szCs w:val="28"/>
        </w:rPr>
        <w:t xml:space="preserve"> Д. Стратегическое рыночное управление. 7-е изд. / Пер. с англ. под ред. С. Г. </w:t>
      </w:r>
      <w:proofErr w:type="spellStart"/>
      <w:r w:rsidRPr="00BD219D">
        <w:rPr>
          <w:sz w:val="28"/>
          <w:szCs w:val="28"/>
        </w:rPr>
        <w:t>Божук</w:t>
      </w:r>
      <w:proofErr w:type="spellEnd"/>
      <w:r w:rsidRPr="00BD219D">
        <w:rPr>
          <w:sz w:val="28"/>
          <w:szCs w:val="28"/>
        </w:rPr>
        <w:t>. – СПб.: Питер, 20</w:t>
      </w:r>
      <w:r>
        <w:rPr>
          <w:sz w:val="28"/>
          <w:szCs w:val="28"/>
        </w:rPr>
        <w:t>1</w:t>
      </w:r>
      <w:r w:rsidRPr="00BD219D">
        <w:rPr>
          <w:sz w:val="28"/>
          <w:szCs w:val="28"/>
        </w:rPr>
        <w:t>7. – 496 с.</w:t>
      </w:r>
    </w:p>
    <w:p w:rsidR="00051125" w:rsidRPr="00E71C73" w:rsidRDefault="00051125" w:rsidP="00504199">
      <w:pPr>
        <w:pStyle w:val="text-splitter-active"/>
        <w:spacing w:line="360" w:lineRule="auto"/>
        <w:ind w:left="709"/>
        <w:jc w:val="both"/>
        <w:rPr>
          <w:sz w:val="28"/>
          <w:szCs w:val="28"/>
        </w:rPr>
      </w:pPr>
    </w:p>
    <w:p w:rsidR="007C4FEC" w:rsidRDefault="007C4FEC" w:rsidP="007C4FE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7C4FEC" w:rsidRDefault="007C4FEC" w:rsidP="007C4FEC"/>
    <w:sectPr w:rsidR="007C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515"/>
    <w:multiLevelType w:val="hybridMultilevel"/>
    <w:tmpl w:val="67E674A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1A"/>
    <w:rsid w:val="00051125"/>
    <w:rsid w:val="004604BD"/>
    <w:rsid w:val="00504199"/>
    <w:rsid w:val="007C4FEC"/>
    <w:rsid w:val="0084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88D8"/>
  <w15:chartTrackingRefBased/>
  <w15:docId w15:val="{10D53AF8-8E04-4362-AC45-8EF2BFBF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EC"/>
    <w:pPr>
      <w:spacing w:after="0" w:line="240" w:lineRule="auto"/>
    </w:pPr>
    <w:rPr>
      <w:rFonts w:asciiTheme="majorBidi" w:hAnsiTheme="majorBidi"/>
    </w:rPr>
  </w:style>
  <w:style w:type="paragraph" w:styleId="1">
    <w:name w:val="heading 1"/>
    <w:basedOn w:val="a"/>
    <w:next w:val="a"/>
    <w:link w:val="10"/>
    <w:uiPriority w:val="9"/>
    <w:qFormat/>
    <w:rsid w:val="007C4FE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4FE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C4FEC"/>
    <w:pPr>
      <w:tabs>
        <w:tab w:val="right" w:leader="dot" w:pos="9344"/>
      </w:tabs>
      <w:spacing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C4F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aliases w:val="маркированный,Bullet_IRAO,Мой Список,List Paragraph_0,Bullets before,List Paragraph,AC List 01,Bullet Points,без абзаца,ПАРАГРАФ,Заголовок_3,Абзац,Bullet List,FooterText,numbered,Содержание. 2 уровень,Подпись рисунка,Heading1,-Абзац списка"/>
    <w:basedOn w:val="a"/>
    <w:link w:val="a5"/>
    <w:uiPriority w:val="34"/>
    <w:qFormat/>
    <w:rsid w:val="007C4FEC"/>
    <w:pPr>
      <w:ind w:left="720"/>
      <w:contextualSpacing/>
    </w:pPr>
  </w:style>
  <w:style w:type="character" w:customStyle="1" w:styleId="a5">
    <w:name w:val="Абзац списка Знак"/>
    <w:aliases w:val="маркированный Знак,Bullet_IRAO Знак,Мой Список Знак,List Paragraph_0 Знак,Bullets before Знак,List Paragraph Знак,AC List 01 Знак,Bullet Points Знак,без абзаца Знак,ПАРАГРАФ Знак,Заголовок_3 Знак,Абзац Знак,Bullet List Знак"/>
    <w:basedOn w:val="a0"/>
    <w:link w:val="a4"/>
    <w:uiPriority w:val="34"/>
    <w:locked/>
    <w:rsid w:val="007C4FEC"/>
    <w:rPr>
      <w:rFonts w:asciiTheme="majorBidi" w:hAnsiTheme="majorBidi"/>
    </w:rPr>
  </w:style>
  <w:style w:type="paragraph" w:customStyle="1" w:styleId="text-splitter-active">
    <w:name w:val="text-splitter-active"/>
    <w:basedOn w:val="a"/>
    <w:qFormat/>
    <w:rsid w:val="007C4F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rsiv.kz/news/kompanii-i-rynki/2017-07/kanat-bozumbaev-s-1-yanvarya-2019-goda-u-nas-nachnet-funkcionirov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tnews.kz/news/kazakhstan/item-57607" TargetMode="External"/><Relationship Id="rId5" Type="http://schemas.openxmlformats.org/officeDocument/2006/relationships/hyperlink" Target="http://adilet.zan.kz/rus/docs/P14000007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2021-03-03T06:52:00Z</dcterms:created>
  <dcterms:modified xsi:type="dcterms:W3CDTF">2021-03-10T09:05:00Z</dcterms:modified>
</cp:coreProperties>
</file>