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B1" w:rsidRDefault="00CE1FB1" w:rsidP="00CE1FB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СОДЕРЖАНИЕ</w:t>
      </w:r>
    </w:p>
    <w:p w:rsidR="008F3C7F" w:rsidRDefault="008F3C7F" w:rsidP="00CE1FB1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Toc344032496"/>
    </w:p>
    <w:p w:rsidR="00CE1FB1" w:rsidRDefault="00CE1FB1" w:rsidP="00CE1FB1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</w:t>
      </w:r>
      <w:bookmarkEnd w:id="0"/>
    </w:p>
    <w:p w:rsidR="00CE1FB1" w:rsidRDefault="00CE1FB1" w:rsidP="00CE1FB1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1FB1" w:rsidRDefault="00CE1FB1" w:rsidP="00CE1FB1">
      <w:pPr>
        <w:pStyle w:val="a3"/>
        <w:widowControl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1. МЕТОДОЛОГИЧЕСКИЕ ОСНОВЫ СТРАТЕГИЧЕСКОГО ВИДЕНИЯ</w:t>
      </w:r>
    </w:p>
    <w:p w:rsidR="00CE1FB1" w:rsidRDefault="00CE1FB1" w:rsidP="00CE1FB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стратегического видения</w:t>
      </w:r>
    </w:p>
    <w:p w:rsidR="00CE1FB1" w:rsidRDefault="00CE1FB1" w:rsidP="00CE1FB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стратегии, видения и миссии организации</w:t>
      </w:r>
    </w:p>
    <w:p w:rsidR="00CE1FB1" w:rsidRPr="008F3C7F" w:rsidRDefault="00CE1FB1" w:rsidP="00CE1FB1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3C7F">
        <w:rPr>
          <w:rFonts w:ascii="Times New Roman" w:hAnsi="Times New Roman"/>
          <w:sz w:val="28"/>
          <w:szCs w:val="28"/>
        </w:rPr>
        <w:t xml:space="preserve">Формирование  и распространение стратегического видения </w:t>
      </w:r>
    </w:p>
    <w:p w:rsidR="00CE1FB1" w:rsidRDefault="00CE1FB1" w:rsidP="00CE1F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2. СТРАТЕГИЧЕСКОЕ ВИДЕНИЕ НА ПРИМЕРЕ АО «БАНК РАЗВИТИЯ КАЗАХСТАНА» </w:t>
      </w:r>
    </w:p>
    <w:p w:rsidR="00CE1FB1" w:rsidRDefault="00CE1FB1" w:rsidP="00CE1FB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 Характеристика деятельности АО «Банк Развития Казахстана»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E1FB1" w:rsidRDefault="00CE1FB1" w:rsidP="00CE1FB1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_Toc344032498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 Анализ финансового состояния банка</w:t>
      </w:r>
      <w:bookmarkEnd w:id="1"/>
    </w:p>
    <w:p w:rsidR="00CE1FB1" w:rsidRDefault="00CE1FB1" w:rsidP="00CE1FB1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2.3 Стратегическое видение АО «Банк Развития Казахстана»  </w:t>
      </w:r>
    </w:p>
    <w:p w:rsidR="00CE1FB1" w:rsidRDefault="00CE1FB1" w:rsidP="00CE1F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FB1" w:rsidRDefault="00CE1FB1" w:rsidP="00CE1F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3. РОЛЬ СТРАТЕГИЧЕСКОГО ВИДЕНИЯ В РАЗВИТИИ ОРГАНИЗАЦИИ</w:t>
      </w:r>
    </w:p>
    <w:p w:rsidR="00CE1FB1" w:rsidRDefault="00CE1FB1" w:rsidP="00CE1F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E1FB1" w:rsidRDefault="00CE1FB1" w:rsidP="00CE1F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FB1" w:rsidRDefault="00CE1FB1" w:rsidP="00CE1FB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ИСПОЛЬЗОВАННЫХ ИСТОЧНИКОВ</w:t>
      </w:r>
    </w:p>
    <w:p w:rsidR="00CE1FB1" w:rsidRDefault="00CE1FB1" w:rsidP="00CE1FB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FB1" w:rsidRDefault="00CE1FB1">
      <w:pPr>
        <w:spacing w:after="0" w:line="240" w:lineRule="auto"/>
      </w:pPr>
      <w:r>
        <w:br w:type="page"/>
      </w:r>
    </w:p>
    <w:p w:rsidR="00CE1FB1" w:rsidRDefault="00CE1FB1" w:rsidP="00CE1FB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CE1FB1" w:rsidRDefault="00CE1FB1" w:rsidP="00CE1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Долгоруков А. М. </w:t>
      </w:r>
      <w:hyperlink r:id="rId6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Стратегическое искусство-Целеполагание в бизнесе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.: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1С-Паблишинг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2004</w:t>
      </w:r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Лисичкина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М.В</w:t>
      </w:r>
      <w:proofErr w:type="spellEnd"/>
      <w:r>
        <w:rPr>
          <w:rFonts w:ascii="Times New Roman" w:hAnsi="Times New Roman"/>
          <w:sz w:val="28"/>
          <w:szCs w:val="28"/>
        </w:rPr>
        <w:t xml:space="preserve">. Стратегический менеджмент: Учебно-методический комплекс. — М.: Изд. центр </w:t>
      </w:r>
      <w:proofErr w:type="spellStart"/>
      <w:r>
        <w:rPr>
          <w:rFonts w:ascii="Times New Roman" w:hAnsi="Times New Roman"/>
          <w:sz w:val="28"/>
          <w:szCs w:val="28"/>
        </w:rPr>
        <w:t>ЕАОИ</w:t>
      </w:r>
      <w:proofErr w:type="spellEnd"/>
      <w:r>
        <w:rPr>
          <w:rFonts w:ascii="Times New Roman" w:hAnsi="Times New Roman"/>
          <w:sz w:val="28"/>
          <w:szCs w:val="28"/>
        </w:rPr>
        <w:t>. 2007</w:t>
      </w:r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Томпсон </w:t>
      </w:r>
      <w:proofErr w:type="spellStart"/>
      <w:r>
        <w:rPr>
          <w:rFonts w:ascii="Times New Roman" w:hAnsi="Times New Roman"/>
          <w:sz w:val="28"/>
          <w:szCs w:val="28"/>
        </w:rPr>
        <w:t>А.А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Стрикленд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А.Дж</w:t>
      </w:r>
      <w:proofErr w:type="spellEnd"/>
      <w:r>
        <w:rPr>
          <w:rFonts w:ascii="Times New Roman" w:hAnsi="Times New Roman"/>
          <w:sz w:val="28"/>
          <w:szCs w:val="28"/>
        </w:rPr>
        <w:t xml:space="preserve">. Стратегический менеджмент. Искусство разработки и реализации стратегии. – М.: Банки и биржи,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2005</w:t>
      </w:r>
    </w:p>
    <w:p w:rsidR="00CE1FB1" w:rsidRDefault="00CE1FB1" w:rsidP="00CE1FB1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Мищенко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Стратегическое видение как мощный ресурс компании// журнал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«Генеральный директор»</w:t>
      </w:r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С.Р</w:t>
      </w:r>
      <w:proofErr w:type="spellEnd"/>
      <w:r>
        <w:rPr>
          <w:rFonts w:ascii="Times New Roman" w:hAnsi="Times New Roman"/>
          <w:sz w:val="28"/>
          <w:szCs w:val="28"/>
        </w:rPr>
        <w:t xml:space="preserve">. Стратегическое видение – как аспект управления организацией // Финансы. Право. Менеджмент [Электронный ресурс]. – Режим доступа: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www.flm.su</w:t>
      </w:r>
      <w:proofErr w:type="spellEnd"/>
      <w:r>
        <w:rPr>
          <w:rFonts w:ascii="Times New Roman" w:hAnsi="Times New Roman"/>
          <w:sz w:val="28"/>
          <w:szCs w:val="28"/>
        </w:rPr>
        <w:t>/?</w:t>
      </w:r>
      <w:proofErr w:type="spellStart"/>
      <w:r>
        <w:rPr>
          <w:rFonts w:ascii="Times New Roman" w:hAnsi="Times New Roman"/>
          <w:sz w:val="28"/>
          <w:szCs w:val="28"/>
        </w:rPr>
        <w:t>actions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main_content&amp;id</w:t>
      </w:r>
      <w:proofErr w:type="spellEnd"/>
      <w:r>
        <w:rPr>
          <w:rFonts w:ascii="Times New Roman" w:hAnsi="Times New Roman"/>
          <w:sz w:val="28"/>
          <w:szCs w:val="28"/>
        </w:rPr>
        <w:t>=870</w:t>
      </w:r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заочный финансово-экономический институт Стратегический менеджмент: Лекции, Пенза, 2003</w:t>
      </w:r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стратегического видения [Электронный ресурс]. – Режим доступа: 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http://bestlectures.net/news/formirovanie-strategicheskogo-videniya.html</w:t>
        </w:r>
      </w:hyperlink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Республики Казахстан «О Банке Развития Казахстана» от 25.04.2001 N 178-</w:t>
      </w:r>
      <w:proofErr w:type="spellStart"/>
      <w:r>
        <w:rPr>
          <w:rFonts w:ascii="Times New Roman" w:hAnsi="Times New Roman"/>
          <w:sz w:val="28"/>
          <w:szCs w:val="28"/>
        </w:rPr>
        <w:t>II</w:t>
      </w:r>
      <w:proofErr w:type="spellEnd"/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Фондовая биржа Казахстана //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kase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E1FB1" w:rsidRDefault="00CE1FB1" w:rsidP="00CE1F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«Банк Развития Казахстана» //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kdb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37706" w:rsidRDefault="00537706">
      <w:bookmarkStart w:id="2" w:name="_GoBack"/>
      <w:bookmarkEnd w:id="2"/>
    </w:p>
    <w:sectPr w:rsidR="005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206"/>
    <w:multiLevelType w:val="hybridMultilevel"/>
    <w:tmpl w:val="B1383924"/>
    <w:lvl w:ilvl="0" w:tplc="D8107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8D2B2E"/>
    <w:multiLevelType w:val="multilevel"/>
    <w:tmpl w:val="EEB66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B1"/>
    <w:rsid w:val="00537706"/>
    <w:rsid w:val="008F3C7F"/>
    <w:rsid w:val="00C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1FB1"/>
    <w:pPr>
      <w:ind w:left="720"/>
      <w:contextualSpacing/>
    </w:pPr>
  </w:style>
  <w:style w:type="character" w:styleId="a4">
    <w:name w:val="Hyperlink"/>
    <w:semiHidden/>
    <w:unhideWhenUsed/>
    <w:rsid w:val="00CE1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1FB1"/>
    <w:pPr>
      <w:ind w:left="720"/>
      <w:contextualSpacing/>
    </w:pPr>
  </w:style>
  <w:style w:type="character" w:styleId="a4">
    <w:name w:val="Hyperlink"/>
    <w:semiHidden/>
    <w:unhideWhenUsed/>
    <w:rsid w:val="00CE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estlectures.net/news/formirovanie-strategicheskogo-vid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iblio.com/biblio/archive/dolgorukov_strategichesko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db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2016-04-05T09:46:00Z</dcterms:created>
  <dcterms:modified xsi:type="dcterms:W3CDTF">2016-04-05T09:46:00Z</dcterms:modified>
</cp:coreProperties>
</file>