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B1" w:rsidRDefault="00CE1FB1" w:rsidP="00CE1F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8F3C7F" w:rsidRDefault="008F3C7F" w:rsidP="00CE1FB1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344032496"/>
    </w:p>
    <w:p w:rsidR="00CE1FB1" w:rsidRDefault="00CE1FB1" w:rsidP="00CE1FB1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</w:t>
      </w:r>
      <w:bookmarkEnd w:id="0"/>
    </w:p>
    <w:p w:rsidR="00CE1FB1" w:rsidRDefault="00CE1FB1" w:rsidP="00CE1FB1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1FB1" w:rsidRDefault="00CE1FB1" w:rsidP="00CE1FB1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МЕТОДОЛОГИЧЕСКИЕ ОСНОВЫ СТРАТЕГИЧЕСКОГО ВИДЕНИЯ</w:t>
      </w:r>
    </w:p>
    <w:p w:rsidR="00CE1FB1" w:rsidRDefault="00CE1FB1" w:rsidP="00CE1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стратегического видения</w:t>
      </w:r>
    </w:p>
    <w:p w:rsidR="00CE1FB1" w:rsidRDefault="00CE1FB1" w:rsidP="00CE1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стратегии, видения и миссии организации</w:t>
      </w:r>
    </w:p>
    <w:p w:rsidR="00CE1FB1" w:rsidRPr="008F3C7F" w:rsidRDefault="00CE1FB1" w:rsidP="00CE1FB1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C7F">
        <w:rPr>
          <w:rFonts w:ascii="Times New Roman" w:hAnsi="Times New Roman"/>
          <w:sz w:val="28"/>
          <w:szCs w:val="28"/>
        </w:rPr>
        <w:t xml:space="preserve">Формирование  и распространение стратегического видения </w:t>
      </w:r>
    </w:p>
    <w:p w:rsidR="00CE1FB1" w:rsidRDefault="00CE1FB1" w:rsidP="00CE1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2. СТРАТЕГИЧЕСКОЕ ВИДЕНИЕ НА ПРИМЕРЕ АО «БАНК РАЗВИТИЯ КАЗАХСТАНА» </w:t>
      </w:r>
    </w:p>
    <w:p w:rsidR="00CE1FB1" w:rsidRDefault="00CE1FB1" w:rsidP="00CE1FB1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 Характеристика деятельности АО «Банк Развития Казахстана»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1FB1" w:rsidRDefault="00CE1FB1" w:rsidP="00CE1FB1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Toc344032498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 Анализ финансового состояния банка</w:t>
      </w:r>
      <w:bookmarkEnd w:id="1"/>
    </w:p>
    <w:p w:rsidR="00CE1FB1" w:rsidRDefault="00CE1FB1" w:rsidP="00CE1FB1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 Стратегическое видение АО «Банк Развития Казахстана»  </w:t>
      </w:r>
    </w:p>
    <w:p w:rsidR="00CE1FB1" w:rsidRDefault="00CE1FB1" w:rsidP="00CE1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FB1" w:rsidRDefault="00CE1FB1" w:rsidP="00CE1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3. РОЛЬ СТРАТЕГИЧЕСКОГО ВИДЕНИЯ В РАЗВИТИИ ОРГАНИЗАЦИИ</w:t>
      </w:r>
    </w:p>
    <w:p w:rsidR="00CE1FB1" w:rsidRDefault="00CE1FB1" w:rsidP="00CE1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E1FB1" w:rsidRDefault="00CE1FB1" w:rsidP="00CE1F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FB1" w:rsidRDefault="00CE1FB1" w:rsidP="00CE1FB1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ИСПОЛЬЗОВАННЫХ ИСТОЧНИКОВ</w:t>
      </w:r>
    </w:p>
    <w:p w:rsidR="00CE1FB1" w:rsidRDefault="00CE1FB1" w:rsidP="00CE1FB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FB1" w:rsidRDefault="00CE1FB1">
      <w:pPr>
        <w:spacing w:after="0" w:line="240" w:lineRule="auto"/>
      </w:pPr>
      <w:r>
        <w:br w:type="page"/>
      </w:r>
    </w:p>
    <w:p w:rsidR="00CE1FB1" w:rsidRDefault="00CE1FB1" w:rsidP="00CE1FB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CE1FB1" w:rsidRDefault="00CE1FB1" w:rsidP="00CE1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Долгоруков А. М. </w:t>
      </w:r>
      <w:hyperlink r:id="rId6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Стратегическое искусство-Целеполагание в бизнесе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.: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1С-Паблишинг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2004</w:t>
      </w:r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Лисичкина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Стратегический менеджмент: Учебно-методический комплекс. — М.: Изд. центр </w:t>
      </w:r>
      <w:proofErr w:type="spellStart"/>
      <w:r>
        <w:rPr>
          <w:rFonts w:ascii="Times New Roman" w:hAnsi="Times New Roman"/>
          <w:sz w:val="28"/>
          <w:szCs w:val="28"/>
        </w:rPr>
        <w:t>ЕАОИ</w:t>
      </w:r>
      <w:proofErr w:type="spellEnd"/>
      <w:r>
        <w:rPr>
          <w:rFonts w:ascii="Times New Roman" w:hAnsi="Times New Roman"/>
          <w:sz w:val="28"/>
          <w:szCs w:val="28"/>
        </w:rPr>
        <w:t>. 2007</w:t>
      </w:r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Томпсон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Стрикленд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А.Дж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Стратегический менеджмент. Искусство разработки и реализации стратегии. – М.: Банки и биржи,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2005</w:t>
      </w:r>
    </w:p>
    <w:p w:rsidR="00CE1FB1" w:rsidRDefault="00CE1FB1" w:rsidP="00CE1FB1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Мищенко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Стратегическое видение как мощный ресурс компании// журнал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«Генеральный директор»</w:t>
      </w:r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С.Р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Стратегическое видение – как аспект управления организацией // Финансы. Право. Менеджмент [Электронный ресурс]. – Режим доступа: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www.flm.su</w:t>
      </w:r>
      <w:proofErr w:type="spellEnd"/>
      <w:r>
        <w:rPr>
          <w:rFonts w:ascii="Times New Roman" w:hAnsi="Times New Roman"/>
          <w:sz w:val="28"/>
          <w:szCs w:val="28"/>
        </w:rPr>
        <w:t>/?</w:t>
      </w:r>
      <w:proofErr w:type="spellStart"/>
      <w:r>
        <w:rPr>
          <w:rFonts w:ascii="Times New Roman" w:hAnsi="Times New Roman"/>
          <w:sz w:val="28"/>
          <w:szCs w:val="28"/>
        </w:rPr>
        <w:t>actions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main_content&amp;id</w:t>
      </w:r>
      <w:proofErr w:type="spellEnd"/>
      <w:r>
        <w:rPr>
          <w:rFonts w:ascii="Times New Roman" w:hAnsi="Times New Roman"/>
          <w:sz w:val="28"/>
          <w:szCs w:val="28"/>
        </w:rPr>
        <w:t>=870</w:t>
      </w:r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заочный финансово-экономический институт Стратегический менеджмент: Лекции, Пенза, 2003</w:t>
      </w:r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стратегического видения [Электронный ресурс]. – Режим доступа: 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http://bestlectures.net/news/formirovanie-strategicheskogo-videniya.html</w:t>
        </w:r>
      </w:hyperlink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Казахстан «О Банке Развития Казахстана» от 25.04.2001 N 178-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spellEnd"/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Фондовая биржа Казахстана //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kase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E1FB1" w:rsidRDefault="00CE1FB1" w:rsidP="00CE1F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«Банк Развития Казахстана» //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kdb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37706" w:rsidRDefault="00537706">
      <w:bookmarkStart w:id="2" w:name="_GoBack"/>
      <w:bookmarkEnd w:id="2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06"/>
    <w:multiLevelType w:val="hybridMultilevel"/>
    <w:tmpl w:val="B1383924"/>
    <w:lvl w:ilvl="0" w:tplc="D8107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D2B2E"/>
    <w:multiLevelType w:val="multilevel"/>
    <w:tmpl w:val="EEB66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1"/>
    <w:rsid w:val="00537706"/>
    <w:rsid w:val="008F3C7F"/>
    <w:rsid w:val="00C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1FB1"/>
    <w:pPr>
      <w:ind w:left="720"/>
      <w:contextualSpacing/>
    </w:pPr>
  </w:style>
  <w:style w:type="character" w:styleId="a4">
    <w:name w:val="Hyperlink"/>
    <w:semiHidden/>
    <w:unhideWhenUsed/>
    <w:rsid w:val="00CE1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1FB1"/>
    <w:pPr>
      <w:ind w:left="720"/>
      <w:contextualSpacing/>
    </w:pPr>
  </w:style>
  <w:style w:type="character" w:styleId="a4">
    <w:name w:val="Hyperlink"/>
    <w:semiHidden/>
    <w:unhideWhenUsed/>
    <w:rsid w:val="00CE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stlectures.net/news/formirovanie-strategicheskogo-vi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iblio.com/biblio/archive/dolgorukov_strategichesko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db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2016-04-05T09:46:00Z</dcterms:created>
  <dcterms:modified xsi:type="dcterms:W3CDTF">2016-04-05T09:46:00Z</dcterms:modified>
</cp:coreProperties>
</file>