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Управление, учет, анализ и аудит кредиторской задолженности</w:t>
      </w:r>
    </w:p>
    <w:p w:rsid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План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 РАСЧЕТНО-ПЛАТЕЖНАЯ СИСТЕМА В РЕСПУБЛИКЕ КАЗАХСТАН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1.1 Экономическая сущность расчетно-платежной системы Республики Казахстан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1.2 Сущность кредиторской задолженности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1.3 Признание, принципы учета, анализа и аудита кредиторской задолженности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 ДЕЙСТВУЮЩАЯ ПРАКТИКА УЧЕТА КРАТКОСРОЧНОЙ КРЕДИТОРСКОЙ ЗАДОЛЖЕННОСТИ И НАЛОГООБЛОЖЕНИЯ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2.1 Документальное оформление и учет краткосрочной кредиторской задолженности поставщикам и подрядчикам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2.2 Налоговая и учетная политика в части кредиторской задолженности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2.3 Совершенствование учета кредиторской задолженности предприятия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 АУДИТ И АНАЛИЗ КРЕДИТОРСКОЙ ЗАДОЛЖЕННОСТИ ПРЕДПРИЯТИЯ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3.1 Аудит кредиторской задолженности предприятия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3.2 Анализ кредиторской задолженности предприятия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color w:val="000000"/>
          <w:sz w:val="28"/>
          <w:szCs w:val="28"/>
        </w:rPr>
        <w:t>3.3 Необходимость анализа, аудита кредиторской задолженности в совершенствовании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использованных источников</w:t>
      </w:r>
    </w:p>
    <w:p w:rsidR="00557E65" w:rsidRPr="00557E65" w:rsidRDefault="00557E65" w:rsidP="00557E6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7E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557E65" w:rsidRDefault="0055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Учебное пособие – Караганда, 2009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444с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Бакаев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Бухгалтерские термины и определения. - М.: Изд-во "Бухгалтерский учет", 2002,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3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Ковалева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Финансы. - М.: Финансы и статистика, 2005.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с.227</w:t>
      </w:r>
      <w:proofErr w:type="spellEnd"/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4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 2006.-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5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Гражданский Кодекс Республики Казахстан. Комментарий (постатейный). – 2-е изд.,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и доп. / Под ред.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М.К.Сулейменова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Ю.Г.Басина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2003.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634с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6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 Энциклопедический словарь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од ред. И. А. Андриевского. - СПб: Издатели Ф. А. Брокгауз, И. Ф.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2000. -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420с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7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Международные стандарты финансовой отчетности. – М: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Аскери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2005.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312с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8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Нидлз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Б. и др. Принципы бухгалтерского учета. – 2-е ид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стереотип. – М.: Финансы и статистика, 2004.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496с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с122</w:t>
      </w:r>
      <w:proofErr w:type="spellEnd"/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9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МСФО в Казахстане. Принципы перехода и применения. – Алматы: Издательство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– 2009,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388с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Казахстан от 28 февраля 2007 г., №234-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01.01.2014 г.)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11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 Постановление Правительства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«Об утверждении Правил ведения бухгалтерского учета» от 14.10.2011 г. №1172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12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Управленческий учет -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Управление кредиторской и дебиторской задолженностью. №8 (32), август 2006.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»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13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Финансовый анализ. – М.: АО Бизнес-школа, 2008.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320с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14</w:t>
      </w:r>
      <w:r w:rsidRPr="00557E65">
        <w:rPr>
          <w:rFonts w:ascii="Times New Roman" w:hAnsi="Times New Roman" w:cs="Times New Roman"/>
          <w:sz w:val="28"/>
          <w:szCs w:val="28"/>
        </w:rPr>
        <w:tab/>
        <w:t>Закон Республики Казахстан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>б аудиторской деятельности от 20 ноября 1998 года № 304-1 (с изменениями и дополнениями по состоянию на 01.01.2014 г.)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15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Аудит: Краткое руководство/Алматы, ТОО «Издательство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», - 2007.-220 с.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16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Феоктистов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Гостиничный бизнес: особенности бухгалтерского учета и налогообложения. – М.: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Росбух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224с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17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В. К.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Шмидт. Бухгалтерский учет на предприятии. – Алматы: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– Казахстан,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2002г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18</w:t>
      </w:r>
      <w:r w:rsidRPr="00557E65">
        <w:rPr>
          <w:rFonts w:ascii="Times New Roman" w:hAnsi="Times New Roman" w:cs="Times New Roman"/>
          <w:sz w:val="28"/>
          <w:szCs w:val="28"/>
        </w:rPr>
        <w:tab/>
        <w:t>Кодекс Республики Казахстан от 10 декабря 2008 года № 99-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«О налогах и других обязательных платежах в бюджет» (Налоговый кодекс) (с изменениями и дополнениями по состоянию на 01.01.2014 г.). - Алматы: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, 2014 г.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19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Бухгалтерский учет. Учебник для вузов  - Караганда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«Карагандинская полиграфия», 2004. - 983 с.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Единые правила исчисления средней заработной платы, 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29 декабря 2007 года № 1394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21</w:t>
      </w:r>
      <w:r w:rsidRPr="00557E65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 мая 2007 года № 252-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01.01.2014 года).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22</w:t>
      </w:r>
      <w:r w:rsidRPr="00557E65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185.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23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страховой деятельности» от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18.12.2009г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№ 126-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24</w:t>
      </w:r>
      <w:r w:rsidRPr="00557E65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(Общая часть). – Алматы: Издательский дом «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», 2013.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25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Сборник Международных стандартов аудита и контроля качества /пер. с англ./ – Алматы: издательство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«Палата аудиторов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», 2009 – 985 с.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26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Аудит – 1 (базовый учебник)- Алматы: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, 2005, 212 с.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27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Бурцев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Организация системы внутреннего контроля коммерческой организации. — М.: «Экзамен», 2000. — 320 с. 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28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Пугачев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Внутренний аудит и контроль: учебник. – М.: Дело и Сервис, 2010;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29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З. Н. Аудит : учебник/ М-во образ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эконом. ун-т им. Т. Рыскулова. – Алматы</w:t>
      </w:r>
      <w:proofErr w:type="gramStart"/>
      <w:r w:rsidRPr="00557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7E65">
        <w:rPr>
          <w:rFonts w:ascii="Times New Roman" w:hAnsi="Times New Roman" w:cs="Times New Roman"/>
          <w:sz w:val="28"/>
          <w:szCs w:val="28"/>
        </w:rPr>
        <w:t xml:space="preserve"> Экономика, 2004. – 528 с.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30</w:t>
      </w:r>
      <w:r w:rsidRPr="00557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Аудит: Учебное пособие. – Караганда, 2006 –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31</w:t>
      </w:r>
      <w:r w:rsidRPr="00557E65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) 19 «Вознаграждения работникам». – Алматы: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, 2012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32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Галлеев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М.Ш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. Дебиторская и кредиторская задолженность: острые вопросы учета и налогообложения. – Москва: Вершина, 2006.</w:t>
      </w:r>
    </w:p>
    <w:p w:rsidR="00557E65" w:rsidRPr="00557E65" w:rsidRDefault="00557E65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65">
        <w:rPr>
          <w:rFonts w:ascii="Times New Roman" w:hAnsi="Times New Roman" w:cs="Times New Roman"/>
          <w:sz w:val="28"/>
          <w:szCs w:val="28"/>
        </w:rPr>
        <w:t>33</w:t>
      </w:r>
      <w:r w:rsidRPr="00557E65">
        <w:rPr>
          <w:rFonts w:ascii="Times New Roman" w:hAnsi="Times New Roman" w:cs="Times New Roman"/>
          <w:sz w:val="28"/>
          <w:szCs w:val="28"/>
        </w:rPr>
        <w:tab/>
        <w:t xml:space="preserve">Бабаев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., Петров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. Бухгалтерский учет и контроль дебиторской и кредиторской задолженности. – М.: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65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557E65">
        <w:rPr>
          <w:rFonts w:ascii="Times New Roman" w:hAnsi="Times New Roman" w:cs="Times New Roman"/>
          <w:sz w:val="28"/>
          <w:szCs w:val="28"/>
        </w:rPr>
        <w:t>, Проспект, 2004.</w:t>
      </w:r>
    </w:p>
    <w:p w:rsidR="00F34F30" w:rsidRPr="00557E65" w:rsidRDefault="00F34F30" w:rsidP="0055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F30" w:rsidRPr="0055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65"/>
    <w:rsid w:val="00557E65"/>
    <w:rsid w:val="00F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2015-03-18T08:53:00Z</dcterms:created>
  <dcterms:modified xsi:type="dcterms:W3CDTF">2015-03-18T08:55:00Z</dcterms:modified>
</cp:coreProperties>
</file>