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5B" w:rsidRDefault="002A0BD3" w:rsidP="002A0BD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Др_</w:t>
      </w:r>
      <w:r w:rsidRPr="00540777">
        <w:rPr>
          <w:rFonts w:ascii="Times New Roman" w:eastAsia="Times New Roman" w:hAnsi="Times New Roman" w:cs="Times New Roman"/>
          <w:sz w:val="28"/>
          <w:szCs w:val="28"/>
        </w:rPr>
        <w:t>Уголовная</w:t>
      </w:r>
      <w:proofErr w:type="spellEnd"/>
      <w:r w:rsidRPr="00540777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вовлечение несовершеннолетнего в совершение преступления и антиобщественных действий</w:t>
      </w:r>
    </w:p>
    <w:p w:rsidR="002A0BD3" w:rsidRDefault="002A0BD3" w:rsidP="002A0BD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Стр_70</w:t>
      </w:r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896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897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 ПОНЯТИЕ И ОБЩАЯ ХАРАКТЕРИСТИКА ВОВЛЕЧЕНИЯ   НЕСОВЕРШЕННОЛЕТНИХ В СОВЕРШЕНИЕ ПРЕСТУПЛЕНИЯ И АНТИОБЩЕСТВЕННЫХ ДЕЙСТВИЙ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898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1.1. История развития законодательства об ответственности за преступления против несовершеннолетних.</w:t>
        </w:r>
      </w:hyperlink>
      <w:r w:rsidRPr="002A0BD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899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1.2. Понятие преступной и антиобщественной деятельности несовершенно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летних в уголовном праве России</w:t>
        </w:r>
      </w:hyperlink>
      <w:r w:rsidRPr="002A0BD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900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УГОЛОВНО-ПРАВОВАЯ ХАРАКТЕРИСТИКА ВОВЛЕЧЕНИЯ НЕСОВЕРШЕННОЛЕТНИХ В СОВЕРШЕНИЕ ПРЕСТУПЛЕНИЯ И АНТИОБЩЕСТВЕННУЮ ДЕЯТЕЛЬНОСТЬ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901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2.1. Объективные признаки преступлений, предусмотренных ст.ст.150 и 151 УК РФ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902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2.2. Субъективные признаки преступлений, предусмотренных ст.ст.150 и 151 УК РФ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903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2.3. Квалифицирующие и особо квалифицирующие признаки преступлений, предусмотренных ст.ст.150 и 151 УК РФ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904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КРИМИНОЛОГИЧЕСКАЯ ХАРАКТЕРИСТИКА ВОВЛЕЧЕНИЯ НЕСОВЕРШЕННОЛЕТНИХ В СОВЕРШЕНИЕ ПРЕСТУПЛЕНИЯ И АНТИОБЩЕСТВЕННЫХ ДЕЙСТВИЕ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905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3.1. Причины вовлечения несовершеннолетних в совершения преступления и антиобщественных действий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hyperlink w:anchor="_Toc184199906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Предупреждение преступлений, предусмотренных ст.ст.150 и 151 УК РФ</w:t>
        </w:r>
      </w:hyperlink>
    </w:p>
    <w:p w:rsidR="002A0BD3" w:rsidRP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907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2A0BD3" w:rsidRDefault="002A0BD3" w:rsidP="002A0BD3">
      <w:pPr>
        <w:pStyle w:val="21"/>
        <w:tabs>
          <w:tab w:val="right" w:leader="dot" w:pos="9628"/>
        </w:tabs>
        <w:spacing w:after="0"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184199908" w:history="1">
        <w:r w:rsidRPr="002A0BD3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2A0BD3" w:rsidRDefault="002A0BD3" w:rsidP="002A0BD3">
      <w:pPr>
        <w:rPr>
          <w:lang w:eastAsia="zh-CN"/>
        </w:rPr>
      </w:pPr>
    </w:p>
    <w:p w:rsidR="002A0BD3" w:rsidRPr="00745FC0" w:rsidRDefault="002A0BD3" w:rsidP="002A0BD3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5FC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2A0BD3" w:rsidRPr="00C96513" w:rsidRDefault="002A0BD3" w:rsidP="002A0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13">
        <w:rPr>
          <w:rFonts w:ascii="Times New Roman" w:hAnsi="Times New Roman" w:cs="Times New Roman"/>
          <w:sz w:val="28"/>
          <w:szCs w:val="28"/>
        </w:rPr>
        <w:t>Проведённое исследование позволило комплексно осмыслить уголовно-правовую и криминологическую сущность вовлечения несовершеннолетних в преступную и антиобщественную деятельность. Рассмотрены статьи 150 и 151 УК РФ, а также механизмы реализации уголовной ответственности за указанные деяния. Установлено, что данные преступления наносят серьёзный вред не только личности несовершеннолетнего, но и устойчивости социальной среды в целом.</w:t>
      </w:r>
    </w:p>
    <w:p w:rsidR="002A0BD3" w:rsidRPr="00C96513" w:rsidRDefault="002A0BD3" w:rsidP="002A0B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13">
        <w:rPr>
          <w:rFonts w:ascii="Times New Roman" w:hAnsi="Times New Roman" w:cs="Times New Roman"/>
          <w:sz w:val="28"/>
          <w:szCs w:val="28"/>
        </w:rPr>
        <w:t>К числу наиболее дискуссионных вопросов, затронутых в работе, можно отнести:</w:t>
      </w:r>
    </w:p>
    <w:p w:rsidR="002A0BD3" w:rsidRPr="00114DDE" w:rsidRDefault="002A0BD3" w:rsidP="002A0BD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DE">
        <w:rPr>
          <w:rFonts w:ascii="Times New Roman" w:hAnsi="Times New Roman" w:cs="Times New Roman"/>
          <w:sz w:val="28"/>
          <w:szCs w:val="28"/>
        </w:rPr>
        <w:t xml:space="preserve">Определение момента окончания преступлений, предусмотренных ст. 150 и 151 УК РФ. </w:t>
      </w:r>
      <w:proofErr w:type="spellStart"/>
      <w:r w:rsidRPr="00114DDE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114DDE">
        <w:rPr>
          <w:rFonts w:ascii="Times New Roman" w:hAnsi="Times New Roman" w:cs="Times New Roman"/>
          <w:sz w:val="28"/>
          <w:szCs w:val="28"/>
        </w:rPr>
        <w:t xml:space="preserve"> здесь заключается в смене позиции Верховного Суда: от признания состава формальным (достаточно самого факта вовлечения) к признанию его материальным (необходимы действия самого несовершеннолетнего, свидетельствующие о вовлечении). Такая правовая неопределенность создает сложности в квалификации, особенно на стадии покушения, и требует единообразного подхода со стороны </w:t>
      </w:r>
      <w:proofErr w:type="spellStart"/>
      <w:r w:rsidRPr="00114DDE">
        <w:rPr>
          <w:rFonts w:ascii="Times New Roman" w:hAnsi="Times New Roman" w:cs="Times New Roman"/>
          <w:sz w:val="28"/>
          <w:szCs w:val="28"/>
        </w:rPr>
        <w:t>правоприменителей</w:t>
      </w:r>
      <w:proofErr w:type="spellEnd"/>
      <w:r w:rsidRPr="00114DDE">
        <w:rPr>
          <w:rFonts w:ascii="Times New Roman" w:hAnsi="Times New Roman" w:cs="Times New Roman"/>
          <w:sz w:val="28"/>
          <w:szCs w:val="28"/>
        </w:rPr>
        <w:t>.</w:t>
      </w: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Pr="00B12AEC" w:rsidRDefault="002A0BD3" w:rsidP="002A0BD3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84199908"/>
      <w:r w:rsidRPr="00B12AE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ИСПОЛЬЗОВАННЫХ ИСТОЧНИКОВ</w:t>
      </w:r>
      <w:bookmarkEnd w:id="0"/>
    </w:p>
    <w:p w:rsidR="002A0BD3" w:rsidRDefault="002A0BD3" w:rsidP="002A0BD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41BB0">
        <w:rPr>
          <w:rFonts w:ascii="Times New Roman" w:hAnsi="Times New Roman" w:cs="Times New Roman"/>
          <w:sz w:val="28"/>
          <w:szCs w:val="28"/>
        </w:rPr>
        <w:t>Декларация прав ребенка. Принята резолюцией 1386 (ХIV) Генеральной Ассамблеи ООН от 20 ноября 1959 года // https://www.un.org/ru/documents/decl_conv/declarations/childdec.shtml</w:t>
      </w:r>
    </w:p>
    <w:p w:rsidR="002A0BD3" w:rsidRPr="0091324A" w:rsidRDefault="002A0BD3" w:rsidP="002A0BD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4A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от 13.06.1996 N 63-ФЗ (ред. от 25.12.2023) (с изм. и доп., вступ. в силу с 30.12.2023). – URL: </w:t>
      </w:r>
      <w:hyperlink r:id="rId5" w:history="1">
        <w:r w:rsidRPr="0091324A">
          <w:rPr>
            <w:rStyle w:val="a3"/>
            <w:rFonts w:ascii="Times New Roman" w:hAnsi="Times New Roman" w:cs="Times New Roman"/>
            <w:sz w:val="28"/>
            <w:szCs w:val="28"/>
          </w:rPr>
          <w:t>https://www.consultant.ru/document/cons_doc_LAW_10699/</w:t>
        </w:r>
      </w:hyperlink>
    </w:p>
    <w:p w:rsidR="002A0BD3" w:rsidRPr="0091324A" w:rsidRDefault="002A0BD3" w:rsidP="002A0BD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4A">
        <w:rPr>
          <w:rFonts w:ascii="Times New Roman" w:hAnsi="Times New Roman" w:cs="Times New Roman"/>
          <w:sz w:val="28"/>
          <w:szCs w:val="28"/>
        </w:rPr>
        <w:t>"Семейный кодекс Российской Федерации" от 29.12.1995 N 223-ФЗ (ред. от 31.07.2023) (с изм. и доп., вступ. в силу с 26.10.2023). – URL: https://www.consultant.ru/document/cons_doc_LAW_8982/</w:t>
      </w:r>
    </w:p>
    <w:p w:rsidR="002A0BD3" w:rsidRDefault="002A0BD3" w:rsidP="002A0BD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4A">
        <w:rPr>
          <w:rFonts w:ascii="Times New Roman" w:hAnsi="Times New Roman" w:cs="Times New Roman"/>
          <w:sz w:val="28"/>
          <w:szCs w:val="28"/>
        </w:rPr>
        <w:t xml:space="preserve">"Уголовно-процессуальный кодекс Российской Федерации" от 18.12.2001 N 174-ФЗ (ред. от 23.11.2024) // </w:t>
      </w:r>
      <w:hyperlink r:id="rId6" w:history="1">
        <w:r w:rsidRPr="00770DDD">
          <w:rPr>
            <w:rStyle w:val="a3"/>
            <w:rFonts w:ascii="Times New Roman" w:hAnsi="Times New Roman" w:cs="Times New Roman"/>
            <w:sz w:val="28"/>
            <w:szCs w:val="28"/>
          </w:rPr>
          <w:t>https://www.consultant.ru/document/cons_doc_LAW_34481/</w:t>
        </w:r>
      </w:hyperlink>
    </w:p>
    <w:p w:rsidR="002A0BD3" w:rsidRPr="0091324A" w:rsidRDefault="002A0BD3" w:rsidP="002A0BD3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93">
        <w:rPr>
          <w:rFonts w:ascii="Times New Roman" w:hAnsi="Times New Roman" w:cs="Times New Roman"/>
          <w:sz w:val="28"/>
          <w:szCs w:val="28"/>
        </w:rPr>
        <w:t>Федеральный закон от 24 июня 1999 г. N 120-ФЗ "Об основах системы профилактики безнадзорности и правонарушений несовершеннолетних" (с изменениями и дополнениями) // https://base.garant.ru/12116087/</w:t>
      </w: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Default="002A0BD3" w:rsidP="002A0BD3">
      <w:pPr>
        <w:rPr>
          <w:lang w:eastAsia="zh-CN"/>
        </w:rPr>
      </w:pPr>
    </w:p>
    <w:p w:rsidR="002A0BD3" w:rsidRPr="002A0BD3" w:rsidRDefault="002A0BD3" w:rsidP="002A0BD3">
      <w:pPr>
        <w:rPr>
          <w:lang w:eastAsia="zh-CN"/>
        </w:rPr>
      </w:pPr>
    </w:p>
    <w:p w:rsidR="002A0BD3" w:rsidRDefault="002A0BD3" w:rsidP="002A0BD3"/>
    <w:sectPr w:rsidR="002A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00DB"/>
    <w:multiLevelType w:val="hybridMultilevel"/>
    <w:tmpl w:val="3ADC8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251BD"/>
    <w:multiLevelType w:val="hybridMultilevel"/>
    <w:tmpl w:val="0C347CF0"/>
    <w:lvl w:ilvl="0" w:tplc="75B28A5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00"/>
    <w:rsid w:val="002A0BD3"/>
    <w:rsid w:val="004D2300"/>
    <w:rsid w:val="009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68C1"/>
  <w15:chartTrackingRefBased/>
  <w15:docId w15:val="{F38C6AD0-561B-466E-BF31-2EF53E1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A0B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BD3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A0BD3"/>
    <w:pPr>
      <w:spacing w:after="100" w:line="276" w:lineRule="auto"/>
      <w:ind w:left="210"/>
    </w:pPr>
    <w:rPr>
      <w:rFonts w:eastAsiaTheme="minorEastAsia"/>
      <w:sz w:val="21"/>
      <w:szCs w:val="21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A0BD3"/>
    <w:rPr>
      <w:rFonts w:asciiTheme="majorHAnsi" w:eastAsiaTheme="majorEastAsia" w:hAnsiTheme="majorHAnsi" w:cstheme="majorBidi"/>
      <w:color w:val="ED7D31" w:themeColor="accent2"/>
      <w:sz w:val="36"/>
      <w:szCs w:val="36"/>
      <w:lang w:eastAsia="zh-CN"/>
    </w:rPr>
  </w:style>
  <w:style w:type="paragraph" w:styleId="a4">
    <w:name w:val="List Paragraph"/>
    <w:basedOn w:val="a"/>
    <w:uiPriority w:val="34"/>
    <w:qFormat/>
    <w:rsid w:val="002A0BD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481/" TargetMode="External"/><Relationship Id="rId5" Type="http://schemas.openxmlformats.org/officeDocument/2006/relationships/hyperlink" Target="https://www.consultant.ru/document/cons_doc_LAW_106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2025-12-13T06:59:00Z</dcterms:created>
  <dcterms:modified xsi:type="dcterms:W3CDTF">2025-12-13T07:02:00Z</dcterms:modified>
</cp:coreProperties>
</file>